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E2A2" w14:textId="77777777" w:rsidR="008B05A0" w:rsidRDefault="008B05A0">
      <w:pPr>
        <w:pBdr>
          <w:top w:val="none" w:sz="0" w:space="4" w:color="auto"/>
        </w:pBdr>
        <w:spacing w:after="0" w:line="275" w:lineRule="atLeast"/>
        <w:jc w:val="both"/>
      </w:pPr>
      <w:bookmarkStart w:id="0" w:name="I06cc6f60faeb11d9b386b232635db992_Targe"/>
      <w:bookmarkStart w:id="1" w:name="co_document_1"/>
      <w:bookmarkEnd w:id="0"/>
    </w:p>
    <w:bookmarkStart w:id="2" w:name="co_readingModeCitatorFlag_1"/>
    <w:bookmarkStart w:id="3" w:name="co_readingModeKC_1"/>
    <w:bookmarkEnd w:id="1"/>
    <w:p w14:paraId="45A51A79" w14:textId="77777777" w:rsidR="008B05A0" w:rsidRDefault="00386CBC">
      <w:pPr>
        <w:spacing w:after="0" w:line="235" w:lineRule="atLeast"/>
        <w:jc w:val="both"/>
      </w:pPr>
      <w:r>
        <w:fldChar w:fldCharType="begin"/>
      </w:r>
      <w:r>
        <w:instrText xml:space="preserve"> HYPERLINK "https://1.next.westlaw.com/Link/RelatedInformation/Flag?documentGuid=I31fe1ffa568411d9bf30d7fdf51b6bd4&amp;transitionType=Document&amp;originationContext=docHeaderFlag&amp;Rank=0&amp;ppcid=67952ca45e654b9d98a3225b44ceeff7&amp;contextData=(sc.DocLink)" \h </w:instrText>
      </w:r>
      <w:r>
        <w:fldChar w:fldCharType="separate"/>
      </w:r>
      <w:r>
        <w:rPr>
          <w:rFonts w:ascii="Times New Roman" w:hAnsi="Times New Roman"/>
          <w:noProof/>
          <w:color w:val="0E568C"/>
          <w:sz w:val="30"/>
        </w:rPr>
        <w:drawing>
          <wp:inline distT="0" distB="0" distL="0" distR="0" wp14:anchorId="48DBCA97" wp14:editId="32F7D25B">
            <wp:extent cx="161925" cy="161925"/>
            <wp:effectExtent l="0" t="0" r="0" b="0"/>
            <wp:docPr id="1" name="Picture 1" descr="KeyCite Yellow Flag - Negative Treatment"/>
            <wp:cNvGraphicFramePr/>
            <a:graphic xmlns:a="http://schemas.openxmlformats.org/drawingml/2006/main">
              <a:graphicData uri="http://schemas.openxmlformats.org/drawingml/2006/picture">
                <pic:pic xmlns:pic="http://schemas.openxmlformats.org/drawingml/2006/picture">
                  <pic:nvPicPr>
                    <pic:cNvPr id="2" name="Picture 1" descr="KeyCite Yellow Flag - Negative Treatment"/>
                    <pic:cNvPicPr/>
                  </pic:nvPicPr>
                  <pic:blipFill>
                    <a:blip r:embed="rId6"/>
                    <a:srcRect/>
                    <a:stretch>
                      <a:fillRect/>
                    </a:stretch>
                  </pic:blipFill>
                  <pic:spPr>
                    <a:xfrm>
                      <a:off x="0" y="0"/>
                      <a:ext cx="161925" cy="161925"/>
                    </a:xfrm>
                    <a:prstGeom prst="rect">
                      <a:avLst/>
                    </a:prstGeom>
                  </pic:spPr>
                </pic:pic>
              </a:graphicData>
            </a:graphic>
          </wp:inline>
        </w:drawing>
      </w:r>
      <w:r>
        <w:rPr>
          <w:rFonts w:ascii="Times New Roman" w:hAnsi="Times New Roman"/>
          <w:noProof/>
          <w:color w:val="0E568C"/>
          <w:sz w:val="30"/>
        </w:rPr>
        <w:fldChar w:fldCharType="end"/>
      </w:r>
      <w:proofErr w:type="spellStart"/>
      <w:r>
        <w:rPr>
          <w:rFonts w:ascii="Times New Roman" w:hAnsi="Times New Roman"/>
          <w:color w:val="000000"/>
          <w:sz w:val="16"/>
        </w:rPr>
        <w:t>KeyCite</w:t>
      </w:r>
      <w:proofErr w:type="spellEnd"/>
      <w:r>
        <w:rPr>
          <w:rFonts w:ascii="Times New Roman" w:hAnsi="Times New Roman"/>
          <w:color w:val="000000"/>
          <w:sz w:val="16"/>
        </w:rPr>
        <w:t xml:space="preserve"> Yellow Flag - Negative Treatment</w:t>
      </w:r>
    </w:p>
    <w:p w14:paraId="69F56195" w14:textId="77777777" w:rsidR="008B05A0" w:rsidRDefault="00386CBC">
      <w:pPr>
        <w:spacing w:after="0" w:line="235" w:lineRule="atLeast"/>
        <w:ind w:hanging="300"/>
        <w:jc w:val="both"/>
      </w:pPr>
      <w:bookmarkStart w:id="4" w:name="co_readingModeNegativeTreatment_1"/>
      <w:bookmarkEnd w:id="2"/>
      <w:bookmarkEnd w:id="3"/>
      <w:r>
        <w:rPr>
          <w:rFonts w:ascii="Times New Roman" w:hAnsi="Times New Roman"/>
          <w:color w:val="000000"/>
          <w:sz w:val="16"/>
        </w:rPr>
        <w:t> </w:t>
      </w:r>
      <w:r>
        <w:rPr>
          <w:rFonts w:ascii="Times New Roman" w:hAnsi="Times New Roman"/>
          <w:color w:val="000000"/>
          <w:sz w:val="16"/>
        </w:rPr>
        <w:tab/>
        <w:t xml:space="preserve">Distinguished by </w:t>
      </w:r>
      <w:hyperlink r:id="rId7">
        <w:r>
          <w:rPr>
            <w:rFonts w:ascii="Times New Roman" w:hAnsi="Times New Roman"/>
            <w:color w:val="0E568C"/>
            <w:sz w:val="16"/>
          </w:rPr>
          <w:t xml:space="preserve">Tahoe-Sierra Preservation Council, Inc. v. Tahoe Regional Planning Agency, </w:t>
        </w:r>
      </w:hyperlink>
      <w:proofErr w:type="spellStart"/>
      <w:r>
        <w:rPr>
          <w:rFonts w:ascii="Times New Roman" w:hAnsi="Times New Roman"/>
          <w:color w:val="000000"/>
          <w:sz w:val="16"/>
        </w:rPr>
        <w:t>D.Nev</w:t>
      </w:r>
      <w:proofErr w:type="spellEnd"/>
      <w:r>
        <w:rPr>
          <w:rFonts w:ascii="Times New Roman" w:hAnsi="Times New Roman"/>
          <w:color w:val="000000"/>
          <w:sz w:val="16"/>
        </w:rPr>
        <w:t>., January 15, 1999</w:t>
      </w:r>
    </w:p>
    <w:bookmarkEnd w:id="4"/>
    <w:p w14:paraId="05AD71DD" w14:textId="77777777" w:rsidR="008B05A0" w:rsidRDefault="00386CBC">
      <w:pPr>
        <w:spacing w:before="180" w:after="0" w:line="275" w:lineRule="atLeast"/>
        <w:jc w:val="center"/>
      </w:pPr>
      <w:r>
        <w:rPr>
          <w:rFonts w:ascii="Georgia" w:hAnsi="Georgia"/>
          <w:color w:val="000000"/>
          <w:sz w:val="20"/>
        </w:rPr>
        <w:t>107 Cal. 214</w:t>
      </w:r>
    </w:p>
    <w:p w14:paraId="69F5F1DE" w14:textId="77777777" w:rsidR="008B05A0" w:rsidRDefault="00386CBC">
      <w:pPr>
        <w:spacing w:after="0" w:line="275" w:lineRule="atLeast"/>
        <w:jc w:val="center"/>
      </w:pPr>
      <w:r>
        <w:rPr>
          <w:rFonts w:ascii="Georgia" w:hAnsi="Georgia"/>
          <w:color w:val="000000"/>
          <w:sz w:val="20"/>
        </w:rPr>
        <w:t>Supreme Court of California.</w:t>
      </w:r>
    </w:p>
    <w:p w14:paraId="1B4CAF89" w14:textId="77777777" w:rsidR="008B05A0" w:rsidRDefault="00386CBC">
      <w:pPr>
        <w:spacing w:before="200" w:after="0" w:line="300" w:lineRule="atLeast"/>
        <w:ind w:left="100" w:right="100"/>
        <w:jc w:val="center"/>
      </w:pPr>
      <w:r>
        <w:rPr>
          <w:rFonts w:ascii="Georgia" w:hAnsi="Georgia"/>
          <w:color w:val="252525"/>
          <w:sz w:val="20"/>
        </w:rPr>
        <w:t>PEOPLE ex rel. RICKS WATER CO.</w:t>
      </w:r>
    </w:p>
    <w:p w14:paraId="67F6E519" w14:textId="77777777" w:rsidR="008B05A0" w:rsidRDefault="00386CBC">
      <w:pPr>
        <w:spacing w:after="0" w:line="300" w:lineRule="atLeast"/>
        <w:ind w:left="100" w:right="100"/>
        <w:jc w:val="center"/>
      </w:pPr>
      <w:r>
        <w:rPr>
          <w:rFonts w:ascii="Georgia" w:hAnsi="Georgia"/>
          <w:color w:val="252525"/>
          <w:sz w:val="20"/>
        </w:rPr>
        <w:t>v.</w:t>
      </w:r>
    </w:p>
    <w:p w14:paraId="05BFD11E" w14:textId="77777777" w:rsidR="008B05A0" w:rsidRDefault="00386CBC">
      <w:pPr>
        <w:spacing w:after="0" w:line="300" w:lineRule="atLeast"/>
        <w:ind w:left="100" w:right="100"/>
        <w:jc w:val="center"/>
      </w:pPr>
      <w:r>
        <w:rPr>
          <w:rFonts w:ascii="Georgia" w:hAnsi="Georgia"/>
          <w:color w:val="252525"/>
          <w:sz w:val="20"/>
        </w:rPr>
        <w:t>ELK RIVER MILL &amp; LUMBER CO.</w:t>
      </w:r>
    </w:p>
    <w:p w14:paraId="2AC627FE" w14:textId="77777777" w:rsidR="008B05A0" w:rsidRDefault="00386CBC">
      <w:pPr>
        <w:pBdr>
          <w:left w:val="none" w:sz="0" w:space="8" w:color="auto"/>
        </w:pBdr>
        <w:spacing w:before="200" w:after="0" w:line="275" w:lineRule="atLeast"/>
        <w:ind w:left="150"/>
        <w:jc w:val="center"/>
      </w:pPr>
      <w:r>
        <w:rPr>
          <w:rFonts w:ascii="Georgia" w:hAnsi="Georgia"/>
          <w:color w:val="000000"/>
          <w:sz w:val="20"/>
        </w:rPr>
        <w:t>(No. 15,720.)</w:t>
      </w:r>
      <w:bookmarkStart w:id="5" w:name="co_fnRef_B00111895003366_ID0EDG_1"/>
      <w:r>
        <w:fldChar w:fldCharType="begin"/>
      </w:r>
      <w:r>
        <w:instrText xml:space="preserve"> HY</w:instrText>
      </w:r>
      <w:r>
        <w:instrText xml:space="preserve">PERLINK \l "co_footnote_B00111895003366_1" \h </w:instrText>
      </w:r>
      <w:r>
        <w:fldChar w:fldCharType="separate"/>
      </w:r>
      <w:r>
        <w:rPr>
          <w:rFonts w:ascii="Georgia" w:hAnsi="Georgia"/>
          <w:color w:val="0E568C"/>
          <w:sz w:val="16"/>
          <w:vertAlign w:val="superscript"/>
        </w:rPr>
        <w:t>1</w:t>
      </w:r>
      <w:r>
        <w:rPr>
          <w:rFonts w:ascii="Georgia" w:hAnsi="Georgia"/>
          <w:color w:val="0E568C"/>
          <w:sz w:val="16"/>
          <w:vertAlign w:val="superscript"/>
        </w:rPr>
        <w:fldChar w:fldCharType="end"/>
      </w:r>
      <w:bookmarkEnd w:id="5"/>
    </w:p>
    <w:p w14:paraId="0EF908AD" w14:textId="77777777" w:rsidR="008B05A0" w:rsidRDefault="00386CBC">
      <w:pPr>
        <w:pBdr>
          <w:left w:val="none" w:sz="0" w:space="8" w:color="auto"/>
        </w:pBdr>
        <w:spacing w:after="0" w:line="275" w:lineRule="atLeast"/>
        <w:ind w:left="150"/>
        <w:jc w:val="center"/>
      </w:pPr>
      <w:r>
        <w:rPr>
          <w:rFonts w:ascii="Georgia" w:hAnsi="Georgia"/>
          <w:color w:val="000000"/>
          <w:sz w:val="20"/>
        </w:rPr>
        <w:t>|</w:t>
      </w:r>
    </w:p>
    <w:p w14:paraId="02CEA0AE" w14:textId="77777777" w:rsidR="008B05A0" w:rsidRDefault="00386CBC">
      <w:pPr>
        <w:pBdr>
          <w:left w:val="none" w:sz="0" w:space="8" w:color="auto"/>
        </w:pBdr>
        <w:spacing w:after="0" w:line="275" w:lineRule="atLeast"/>
        <w:ind w:left="150"/>
        <w:jc w:val="center"/>
      </w:pPr>
      <w:r>
        <w:rPr>
          <w:rFonts w:ascii="Georgia" w:hAnsi="Georgia"/>
          <w:color w:val="000000"/>
          <w:sz w:val="20"/>
        </w:rPr>
        <w:t>May 2, 1895.</w:t>
      </w:r>
    </w:p>
    <w:p w14:paraId="4BF6DFCB" w14:textId="77777777" w:rsidR="008B05A0" w:rsidRDefault="00386CBC">
      <w:pPr>
        <w:keepNext/>
        <w:keepLines/>
        <w:spacing w:before="600" w:after="0" w:line="275" w:lineRule="atLeast"/>
        <w:jc w:val="both"/>
      </w:pPr>
      <w:bookmarkStart w:id="6" w:name="co_synopsis_1"/>
      <w:r>
        <w:rPr>
          <w:rFonts w:ascii="Times New Roman" w:hAnsi="Times New Roman"/>
          <w:b/>
          <w:color w:val="212121"/>
          <w:sz w:val="20"/>
        </w:rPr>
        <w:t>Synopsis</w:t>
      </w:r>
    </w:p>
    <w:bookmarkEnd w:id="6"/>
    <w:p w14:paraId="58F44B82" w14:textId="77777777" w:rsidR="008B05A0" w:rsidRDefault="00386CBC">
      <w:pPr>
        <w:spacing w:after="0" w:line="275" w:lineRule="atLeast"/>
        <w:jc w:val="both"/>
      </w:pPr>
      <w:r>
        <w:rPr>
          <w:rFonts w:ascii="Times New Roman" w:hAnsi="Times New Roman"/>
          <w:color w:val="000000"/>
          <w:sz w:val="20"/>
        </w:rPr>
        <w:t xml:space="preserve">Department 2. Appeal from superior court, </w:t>
      </w:r>
      <w:proofErr w:type="gramStart"/>
      <w:r>
        <w:rPr>
          <w:rFonts w:ascii="Times New Roman" w:hAnsi="Times New Roman"/>
          <w:color w:val="000000"/>
          <w:sz w:val="20"/>
        </w:rPr>
        <w:t>Humboldt county</w:t>
      </w:r>
      <w:proofErr w:type="gramEnd"/>
      <w:r>
        <w:rPr>
          <w:rFonts w:ascii="Times New Roman" w:hAnsi="Times New Roman"/>
          <w:color w:val="000000"/>
          <w:sz w:val="20"/>
        </w:rPr>
        <w:t>; G. W. Hunter, Judge.</w:t>
      </w:r>
    </w:p>
    <w:p w14:paraId="2F01A620" w14:textId="77777777" w:rsidR="008B05A0" w:rsidRDefault="00386CBC">
      <w:pPr>
        <w:spacing w:after="0" w:line="275" w:lineRule="atLeast"/>
        <w:jc w:val="both"/>
      </w:pPr>
      <w:r>
        <w:rPr>
          <w:rFonts w:ascii="Times New Roman" w:hAnsi="Times New Roman"/>
          <w:color w:val="000000"/>
          <w:sz w:val="20"/>
        </w:rPr>
        <w:t> </w:t>
      </w:r>
    </w:p>
    <w:p w14:paraId="6D4EE2AD" w14:textId="77777777" w:rsidR="008B05A0" w:rsidRDefault="00386CBC">
      <w:pPr>
        <w:spacing w:after="0" w:line="275" w:lineRule="atLeast"/>
        <w:jc w:val="both"/>
      </w:pPr>
      <w:r>
        <w:rPr>
          <w:rFonts w:ascii="Times New Roman" w:hAnsi="Times New Roman"/>
          <w:color w:val="000000"/>
          <w:sz w:val="20"/>
        </w:rPr>
        <w:t xml:space="preserve">Action by the people of the state of California, upon the relation of the Ricks Water </w:t>
      </w:r>
      <w:r>
        <w:rPr>
          <w:rFonts w:ascii="Times New Roman" w:hAnsi="Times New Roman"/>
          <w:color w:val="000000"/>
          <w:sz w:val="20"/>
        </w:rPr>
        <w:t>Company, against the Elk River Mill &amp; Lumber Company, to abate a nuisance. From a judgment for plaintiff, defendant appeals. Affirmed.</w:t>
      </w:r>
    </w:p>
    <w:p w14:paraId="065B0AE0" w14:textId="77777777" w:rsidR="008B05A0" w:rsidRDefault="00386CBC">
      <w:pPr>
        <w:spacing w:after="0" w:line="275" w:lineRule="atLeast"/>
        <w:jc w:val="both"/>
      </w:pPr>
      <w:r>
        <w:rPr>
          <w:rFonts w:ascii="Times New Roman" w:hAnsi="Times New Roman"/>
          <w:color w:val="000000"/>
          <w:sz w:val="20"/>
        </w:rPr>
        <w:t> </w:t>
      </w:r>
    </w:p>
    <w:p w14:paraId="6DBCE8F2" w14:textId="77777777" w:rsidR="008B05A0" w:rsidRDefault="00386CBC">
      <w:pPr>
        <w:pBdr>
          <w:left w:val="none" w:sz="0" w:space="5" w:color="auto"/>
        </w:pBdr>
        <w:spacing w:before="400" w:after="0" w:line="555" w:lineRule="atLeast"/>
        <w:ind w:left="100" w:right="150"/>
        <w:jc w:val="both"/>
      </w:pPr>
      <w:bookmarkStart w:id="7" w:name="co_headnoteHeader_1"/>
      <w:bookmarkStart w:id="8" w:name="co_headnotes_1"/>
      <w:r>
        <w:rPr>
          <w:rFonts w:ascii="Times New Roman" w:hAnsi="Times New Roman"/>
          <w:color w:val="252525"/>
          <w:sz w:val="20"/>
        </w:rPr>
        <w:t>West Headnotes (2)</w:t>
      </w:r>
    </w:p>
    <w:bookmarkEnd w:id="7"/>
    <w:bookmarkEnd w:id="8"/>
    <w:p w14:paraId="03418740" w14:textId="77777777" w:rsidR="008B05A0" w:rsidRDefault="008B05A0">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8B05A0" w14:paraId="06D2F5C9" w14:textId="77777777">
        <w:tblPrEx>
          <w:tblCellMar>
            <w:top w:w="0" w:type="dxa"/>
            <w:bottom w:w="0" w:type="dxa"/>
          </w:tblCellMar>
        </w:tblPrEx>
        <w:tc>
          <w:tcPr>
            <w:tcW w:w="600" w:type="dxa"/>
            <w:tcMar>
              <w:left w:w="30" w:type="dxa"/>
              <w:right w:w="30" w:type="dxa"/>
            </w:tcMar>
          </w:tcPr>
          <w:p w14:paraId="03EE5521" w14:textId="77777777" w:rsidR="008B05A0" w:rsidRDefault="00386CBC">
            <w:pPr>
              <w:spacing w:after="0" w:line="275" w:lineRule="atLeast"/>
            </w:pPr>
            <w:bookmarkStart w:id="9" w:name="co_anchor_1895003366_1"/>
            <w:bookmarkStart w:id="10" w:name="co_headnotesTable_1"/>
            <w:bookmarkStart w:id="11" w:name="co_anchor_1895003366501_1"/>
            <w:bookmarkStart w:id="12" w:name="co_expandedHeadnotes_1"/>
            <w:r>
              <w:rPr>
                <w:rFonts w:ascii="Times New Roman" w:hAnsi="Times New Roman"/>
                <w:b/>
                <w:color w:val="000000"/>
                <w:sz w:val="20"/>
              </w:rPr>
              <w:t>[1]</w:t>
            </w:r>
            <w:bookmarkEnd w:id="9"/>
          </w:p>
        </w:tc>
        <w:tc>
          <w:tcPr>
            <w:tcW w:w="4035" w:type="dxa"/>
            <w:tcMar>
              <w:left w:w="30" w:type="dxa"/>
              <w:right w:w="30" w:type="dxa"/>
            </w:tcMar>
          </w:tcPr>
          <w:p w14:paraId="69449347" w14:textId="77777777" w:rsidR="008B05A0" w:rsidRDefault="00386CBC">
            <w:pPr>
              <w:pBdr>
                <w:bottom w:val="none" w:sz="0" w:space="2" w:color="auto"/>
              </w:pBdr>
              <w:spacing w:after="0" w:line="275" w:lineRule="atLeast"/>
            </w:pPr>
            <w:hyperlink r:id="rId8">
              <w:r>
                <w:rPr>
                  <w:rFonts w:ascii="Times New Roman" w:hAnsi="Times New Roman"/>
                  <w:b/>
                  <w:color w:val="0E568C"/>
                  <w:sz w:val="20"/>
                </w:rPr>
                <w:t>Water Law</w:t>
              </w:r>
            </w:hyperlink>
            <w:r>
              <w:rPr>
                <w:rFonts w:ascii="Times New Roman" w:hAnsi="Times New Roman"/>
                <w:noProof/>
                <w:color w:val="000000"/>
                <w:sz w:val="20"/>
              </w:rPr>
              <w:drawing>
                <wp:inline distT="0" distB="0" distL="0" distR="0" wp14:anchorId="684DBC2E" wp14:editId="093929B9">
                  <wp:extent cx="133350" cy="76200"/>
                  <wp:effectExtent l="0" t="0" r="0" b="0"/>
                  <wp:docPr id="3" name="Picture 2" descr="Display Key Number Topics"/>
                  <wp:cNvGraphicFramePr/>
                  <a:graphic xmlns:a="http://schemas.openxmlformats.org/drawingml/2006/main">
                    <a:graphicData uri="http://schemas.openxmlformats.org/drawingml/2006/picture">
                      <pic:pic xmlns:pic="http://schemas.openxmlformats.org/drawingml/2006/picture">
                        <pic:nvPicPr>
                          <pic:cNvPr id="4" name="Picture 2" descr="Display Key Number Topics"/>
                          <pic:cNvPicPr/>
                        </pic:nvPicPr>
                        <pic:blipFill>
                          <a:blip r:embed="rId9"/>
                          <a:srcRect/>
                          <a:stretch>
                            <a:fillRect/>
                          </a:stretch>
                        </pic:blipFill>
                        <pic:spPr>
                          <a:xfrm>
                            <a:off x="0" y="0"/>
                            <a:ext cx="133350" cy="76200"/>
                          </a:xfrm>
                          <a:prstGeom prst="rect">
                            <a:avLst/>
                          </a:prstGeom>
                        </pic:spPr>
                      </pic:pic>
                    </a:graphicData>
                  </a:graphic>
                </wp:inline>
              </w:drawing>
            </w:r>
            <w:hyperlink r:id="rId10">
              <w:r>
                <w:rPr>
                  <w:rFonts w:ascii="Times New Roman" w:hAnsi="Times New Roman"/>
                  <w:color w:val="0E568C"/>
                  <w:sz w:val="20"/>
                </w:rPr>
                <w:t>Sewage and refuse matter</w:t>
              </w:r>
            </w:hyperlink>
          </w:p>
        </w:tc>
      </w:tr>
      <w:bookmarkEnd w:id="10"/>
      <w:bookmarkEnd w:id="11"/>
      <w:bookmarkEnd w:id="12"/>
      <w:tr w:rsidR="008B05A0" w14:paraId="3D8E1375" w14:textId="77777777">
        <w:tblPrEx>
          <w:tblCellMar>
            <w:top w:w="0" w:type="dxa"/>
            <w:bottom w:w="0" w:type="dxa"/>
          </w:tblCellMar>
        </w:tblPrEx>
        <w:tc>
          <w:tcPr>
            <w:tcW w:w="600" w:type="dxa"/>
            <w:tcMar>
              <w:left w:w="30" w:type="dxa"/>
              <w:right w:w="30" w:type="dxa"/>
            </w:tcMar>
          </w:tcPr>
          <w:p w14:paraId="662BD2E5" w14:textId="77777777" w:rsidR="008B05A0" w:rsidRDefault="008B05A0">
            <w:pPr>
              <w:spacing w:after="0" w:line="240" w:lineRule="auto"/>
              <w:rPr>
                <w:rFonts w:ascii="Times New Roman" w:hAnsi="Times New Roman"/>
                <w:color w:val="000000"/>
                <w:sz w:val="20"/>
              </w:rPr>
            </w:pPr>
          </w:p>
        </w:tc>
        <w:tc>
          <w:tcPr>
            <w:tcW w:w="4035" w:type="dxa"/>
            <w:tcMar>
              <w:left w:w="30" w:type="dxa"/>
              <w:right w:w="30" w:type="dxa"/>
            </w:tcMar>
          </w:tcPr>
          <w:p w14:paraId="3A4681D8" w14:textId="77777777" w:rsidR="008B05A0" w:rsidRDefault="00386CBC">
            <w:pPr>
              <w:spacing w:after="0" w:line="275" w:lineRule="atLeast"/>
              <w:jc w:val="both"/>
            </w:pPr>
            <w:r>
              <w:rPr>
                <w:rFonts w:ascii="Times New Roman" w:hAnsi="Times New Roman"/>
                <w:color w:val="000000"/>
                <w:sz w:val="20"/>
              </w:rPr>
              <w:t xml:space="preserve">Where there are lower </w:t>
            </w:r>
            <w:r>
              <w:rPr>
                <w:rFonts w:ascii="Times New Roman" w:hAnsi="Times New Roman"/>
                <w:color w:val="000000"/>
                <w:sz w:val="20"/>
              </w:rPr>
              <w:t xml:space="preserve">riparian owners, one has no right to pollute the waters of a stream by maintaining a cow stable and hog pen on its </w:t>
            </w:r>
            <w:proofErr w:type="gramStart"/>
            <w:r>
              <w:rPr>
                <w:rFonts w:ascii="Times New Roman" w:hAnsi="Times New Roman"/>
                <w:color w:val="000000"/>
                <w:sz w:val="20"/>
              </w:rPr>
              <w:t>banks, but</w:t>
            </w:r>
            <w:proofErr w:type="gramEnd"/>
            <w:r>
              <w:rPr>
                <w:rFonts w:ascii="Times New Roman" w:hAnsi="Times New Roman"/>
                <w:color w:val="000000"/>
                <w:sz w:val="20"/>
              </w:rPr>
              <w:t xml:space="preserve"> must keep his stock a reasonable distance therefrom.</w:t>
            </w:r>
          </w:p>
          <w:bookmarkStart w:id="13" w:name="co_headnoteId_1895003366501201002220328"/>
          <w:p w14:paraId="3DF00F77" w14:textId="77777777" w:rsidR="008B05A0" w:rsidRDefault="00386CBC">
            <w:pPr>
              <w:spacing w:before="200" w:after="0" w:line="275" w:lineRule="atLeast"/>
              <w:jc w:val="both"/>
            </w:pPr>
            <w:r>
              <w:fldChar w:fldCharType="begin"/>
            </w:r>
            <w:r>
              <w:instrText xml:space="preserve"> HYPERLINK "http://www.westlaw.com/Link/RelatedInformation/DocHeadnoteLink?</w:instrText>
            </w:r>
            <w:r>
              <w:instrText xml:space="preserve">docGuid=I06cc6f60faeb11d9b386b232635db992&amp;headnoteId=189500336650120100222032840&amp;originationContext=document&amp;vr=3.0&amp;rs=cblt1.0&amp;transitionType=CitingReferences&amp;contextData=(sc.DocLink)"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13"/>
      </w:tr>
    </w:tbl>
    <w:p w14:paraId="0E8D576F" w14:textId="77777777" w:rsidR="008B05A0" w:rsidRDefault="008B05A0">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8B05A0" w14:paraId="7FCF506F" w14:textId="77777777">
        <w:tblPrEx>
          <w:tblCellMar>
            <w:top w:w="0" w:type="dxa"/>
            <w:bottom w:w="0" w:type="dxa"/>
          </w:tblCellMar>
        </w:tblPrEx>
        <w:tc>
          <w:tcPr>
            <w:tcW w:w="600" w:type="dxa"/>
            <w:tcMar>
              <w:left w:w="30" w:type="dxa"/>
              <w:right w:w="30" w:type="dxa"/>
            </w:tcMar>
          </w:tcPr>
          <w:p w14:paraId="5F5FEE53" w14:textId="77777777" w:rsidR="008B05A0" w:rsidRDefault="00386CBC">
            <w:pPr>
              <w:spacing w:after="0" w:line="275" w:lineRule="atLeast"/>
            </w:pPr>
            <w:bookmarkStart w:id="14" w:name="co_anchor_1895003366_0_1"/>
            <w:bookmarkStart w:id="15" w:name="co_headnotesTable_0_1"/>
            <w:bookmarkStart w:id="16" w:name="co_anchor_1895003366502_1"/>
            <w:r>
              <w:rPr>
                <w:rFonts w:ascii="Times New Roman" w:hAnsi="Times New Roman"/>
                <w:b/>
                <w:color w:val="000000"/>
                <w:sz w:val="20"/>
              </w:rPr>
              <w:t>[2]</w:t>
            </w:r>
            <w:bookmarkEnd w:id="14"/>
          </w:p>
        </w:tc>
        <w:tc>
          <w:tcPr>
            <w:tcW w:w="4035" w:type="dxa"/>
            <w:tcMar>
              <w:left w:w="30" w:type="dxa"/>
              <w:right w:w="30" w:type="dxa"/>
            </w:tcMar>
          </w:tcPr>
          <w:p w14:paraId="7E46DE69" w14:textId="77777777" w:rsidR="008B05A0" w:rsidRDefault="00386CBC">
            <w:pPr>
              <w:pBdr>
                <w:bottom w:val="none" w:sz="0" w:space="2" w:color="auto"/>
              </w:pBdr>
              <w:spacing w:after="0" w:line="275" w:lineRule="atLeast"/>
            </w:pPr>
            <w:hyperlink r:id="rId11">
              <w:r>
                <w:rPr>
                  <w:rFonts w:ascii="Times New Roman" w:hAnsi="Times New Roman"/>
                  <w:b/>
                  <w:color w:val="0E568C"/>
                  <w:sz w:val="20"/>
                </w:rPr>
                <w:t>Water Law</w:t>
              </w:r>
            </w:hyperlink>
            <w:r>
              <w:rPr>
                <w:rFonts w:ascii="Times New Roman" w:hAnsi="Times New Roman"/>
                <w:noProof/>
                <w:color w:val="000000"/>
                <w:sz w:val="20"/>
              </w:rPr>
              <w:drawing>
                <wp:inline distT="0" distB="0" distL="0" distR="0" wp14:anchorId="71025F18" wp14:editId="0307011A">
                  <wp:extent cx="133350" cy="76200"/>
                  <wp:effectExtent l="0" t="0" r="0" b="0"/>
                  <wp:docPr id="5" name="Picture 2" descr="Display Key Number Topics"/>
                  <wp:cNvGraphicFramePr/>
                  <a:graphic xmlns:a="http://schemas.openxmlformats.org/drawingml/2006/main">
                    <a:graphicData uri="http://schemas.openxmlformats.org/drawingml/2006/picture">
                      <pic:pic xmlns:pic="http://schemas.openxmlformats.org/drawingml/2006/picture">
                        <pic:nvPicPr>
                          <pic:cNvPr id="6" name="Picture 2" descr="Display Key Number Topics"/>
                          <pic:cNvPicPr/>
                        </pic:nvPicPr>
                        <pic:blipFill>
                          <a:blip r:embed="rId9"/>
                          <a:srcRect/>
                          <a:stretch>
                            <a:fillRect/>
                          </a:stretch>
                        </pic:blipFill>
                        <pic:spPr>
                          <a:xfrm>
                            <a:off x="0" y="0"/>
                            <a:ext cx="133350" cy="76200"/>
                          </a:xfrm>
                          <a:prstGeom prst="rect">
                            <a:avLst/>
                          </a:prstGeom>
                        </pic:spPr>
                      </pic:pic>
                    </a:graphicData>
                  </a:graphic>
                </wp:inline>
              </w:drawing>
            </w:r>
            <w:hyperlink r:id="rId12">
              <w:r>
                <w:rPr>
                  <w:rFonts w:ascii="Times New Roman" w:hAnsi="Times New Roman"/>
                  <w:color w:val="0E568C"/>
                  <w:sz w:val="20"/>
                </w:rPr>
                <w:t>Pollution or deposits</w:t>
              </w:r>
            </w:hyperlink>
          </w:p>
        </w:tc>
      </w:tr>
      <w:bookmarkEnd w:id="15"/>
      <w:bookmarkEnd w:id="16"/>
      <w:tr w:rsidR="008B05A0" w14:paraId="76F2C135" w14:textId="77777777">
        <w:tblPrEx>
          <w:tblCellMar>
            <w:top w:w="0" w:type="dxa"/>
            <w:bottom w:w="0" w:type="dxa"/>
          </w:tblCellMar>
        </w:tblPrEx>
        <w:tc>
          <w:tcPr>
            <w:tcW w:w="600" w:type="dxa"/>
            <w:tcMar>
              <w:left w:w="30" w:type="dxa"/>
              <w:right w:w="30" w:type="dxa"/>
            </w:tcMar>
          </w:tcPr>
          <w:p w14:paraId="4F4DC0EA" w14:textId="77777777" w:rsidR="008B05A0" w:rsidRDefault="008B05A0">
            <w:pPr>
              <w:spacing w:after="0" w:line="240" w:lineRule="auto"/>
              <w:rPr>
                <w:rFonts w:ascii="Times New Roman" w:hAnsi="Times New Roman"/>
                <w:color w:val="000000"/>
                <w:sz w:val="20"/>
              </w:rPr>
            </w:pPr>
          </w:p>
        </w:tc>
        <w:tc>
          <w:tcPr>
            <w:tcW w:w="4035" w:type="dxa"/>
            <w:tcMar>
              <w:left w:w="30" w:type="dxa"/>
              <w:right w:w="30" w:type="dxa"/>
            </w:tcMar>
          </w:tcPr>
          <w:p w14:paraId="74EE9DF5" w14:textId="77777777" w:rsidR="008B05A0" w:rsidRDefault="00386CBC">
            <w:pPr>
              <w:spacing w:after="0" w:line="275" w:lineRule="atLeast"/>
              <w:jc w:val="both"/>
            </w:pPr>
            <w:r>
              <w:rPr>
                <w:rFonts w:ascii="Times New Roman" w:hAnsi="Times New Roman"/>
                <w:color w:val="000000"/>
                <w:sz w:val="20"/>
              </w:rPr>
              <w:t>A complaint for nuisance, charging defendant with polluting th</w:t>
            </w:r>
            <w:r>
              <w:rPr>
                <w:rFonts w:ascii="Times New Roman" w:hAnsi="Times New Roman"/>
                <w:color w:val="000000"/>
                <w:sz w:val="20"/>
              </w:rPr>
              <w:t xml:space="preserve">e waters of a river with offensive matter from “a sawmill, outhouses, stables, and other fixtures which usually accompany a sawmill,” will embrace a finding that the cause of pollution was a hog pen and the </w:t>
            </w:r>
            <w:r>
              <w:rPr>
                <w:rFonts w:ascii="Times New Roman" w:hAnsi="Times New Roman"/>
                <w:color w:val="000000"/>
                <w:sz w:val="20"/>
              </w:rPr>
              <w:t xml:space="preserve">manure pile of a stable maintained in connection </w:t>
            </w:r>
            <w:r>
              <w:rPr>
                <w:rFonts w:ascii="Times New Roman" w:hAnsi="Times New Roman"/>
                <w:color w:val="000000"/>
                <w:sz w:val="20"/>
              </w:rPr>
              <w:t>with the sawmill.</w:t>
            </w:r>
          </w:p>
          <w:bookmarkStart w:id="17" w:name="co_headnoteId_1895003366502201002220328"/>
          <w:p w14:paraId="012EAEC1" w14:textId="77777777" w:rsidR="008B05A0" w:rsidRDefault="00386CBC">
            <w:pPr>
              <w:spacing w:before="200" w:after="0" w:line="275" w:lineRule="atLeast"/>
              <w:jc w:val="both"/>
            </w:pPr>
            <w:r>
              <w:fldChar w:fldCharType="begin"/>
            </w:r>
            <w:r>
              <w:instrText xml:space="preserve"> HYPERLINK "http://www.westlaw.com/Link/RelatedInformation/DocHeadnoteLink?docGuid=I06cc6f60faeb11d9b386b232635db992&amp;headnoteId=189500336650220100222032840&amp;originationContext=document&amp;vr=3.0&amp;rs=cblt1.0&amp;transitionType=CitingReferences&amp;co</w:instrText>
            </w:r>
            <w:r>
              <w:instrText xml:space="preserve">ntextData=(sc.DocLink)" \h </w:instrText>
            </w:r>
            <w:r>
              <w:fldChar w:fldCharType="separate"/>
            </w:r>
            <w:r>
              <w:rPr>
                <w:rFonts w:ascii="Times New Roman" w:hAnsi="Times New Roman"/>
                <w:color w:val="0E568C"/>
                <w:sz w:val="20"/>
              </w:rPr>
              <w:t>9 Cases that cite this headnote</w:t>
            </w:r>
            <w:r>
              <w:rPr>
                <w:rFonts w:ascii="Times New Roman" w:hAnsi="Times New Roman"/>
                <w:color w:val="0E568C"/>
                <w:sz w:val="20"/>
              </w:rPr>
              <w:fldChar w:fldCharType="end"/>
            </w:r>
          </w:p>
        </w:tc>
        <w:bookmarkEnd w:id="17"/>
      </w:tr>
    </w:tbl>
    <w:p w14:paraId="59EAF6B4" w14:textId="77777777" w:rsidR="008B05A0" w:rsidRDefault="008B05A0">
      <w:pPr>
        <w:pBdr>
          <w:top w:val="none" w:sz="0" w:space="4" w:color="auto"/>
        </w:pBdr>
        <w:spacing w:before="200" w:after="0" w:line="275" w:lineRule="atLeast"/>
        <w:jc w:val="both"/>
      </w:pPr>
      <w:bookmarkStart w:id="18" w:name="co_headnotesEnd_1"/>
      <w:bookmarkEnd w:id="18"/>
    </w:p>
    <w:p w14:paraId="260744B7" w14:textId="77777777" w:rsidR="008B05A0" w:rsidRDefault="00386CBC">
      <w:pPr>
        <w:keepNext/>
        <w:keepLines/>
        <w:spacing w:before="200" w:after="0" w:line="275" w:lineRule="atLeast"/>
        <w:jc w:val="both"/>
      </w:pPr>
      <w:bookmarkStart w:id="19" w:name="co_attorneysAndLawFirms_1"/>
      <w:r>
        <w:rPr>
          <w:rFonts w:ascii="Times New Roman" w:hAnsi="Times New Roman"/>
          <w:b/>
          <w:color w:val="212121"/>
          <w:sz w:val="20"/>
        </w:rPr>
        <w:t>Attorneys and Law Firms</w:t>
      </w:r>
    </w:p>
    <w:p w14:paraId="7FE3D47A" w14:textId="77777777" w:rsidR="008B05A0" w:rsidRDefault="00386CBC">
      <w:pPr>
        <w:spacing w:before="200" w:after="0" w:line="275" w:lineRule="atLeast"/>
        <w:jc w:val="both"/>
      </w:pPr>
      <w:bookmarkStart w:id="20" w:name="co_pp_sp_660_487_1"/>
      <w:bookmarkEnd w:id="19"/>
      <w:r>
        <w:rPr>
          <w:rFonts w:ascii="Times New Roman" w:hAnsi="Times New Roman"/>
          <w:b/>
          <w:color w:val="000000"/>
          <w:sz w:val="20"/>
        </w:rPr>
        <w:t>**487</w:t>
      </w:r>
      <w:bookmarkEnd w:id="20"/>
      <w:r>
        <w:rPr>
          <w:rFonts w:ascii="Times New Roman" w:hAnsi="Times New Roman"/>
          <w:color w:val="000000"/>
          <w:sz w:val="20"/>
        </w:rPr>
        <w:t xml:space="preserve"> </w:t>
      </w:r>
      <w:bookmarkStart w:id="21" w:name="co_pp_sp_220_215_1"/>
      <w:r>
        <w:rPr>
          <w:rFonts w:ascii="Times New Roman" w:hAnsi="Times New Roman"/>
          <w:b/>
          <w:color w:val="000000"/>
          <w:sz w:val="20"/>
        </w:rPr>
        <w:t>*215</w:t>
      </w:r>
      <w:bookmarkEnd w:id="21"/>
      <w:r>
        <w:rPr>
          <w:rFonts w:ascii="Times New Roman" w:hAnsi="Times New Roman"/>
          <w:color w:val="000000"/>
          <w:sz w:val="20"/>
        </w:rPr>
        <w:t xml:space="preserve"> F. A. Cutler and S. M. Buck, for appellant.</w:t>
      </w:r>
    </w:p>
    <w:p w14:paraId="625B4EC5" w14:textId="77777777" w:rsidR="008B05A0" w:rsidRDefault="00386CBC">
      <w:pPr>
        <w:spacing w:before="200" w:after="0" w:line="275" w:lineRule="atLeast"/>
        <w:jc w:val="both"/>
      </w:pPr>
      <w:bookmarkStart w:id="22" w:name="co_pp_sp_220_217_1"/>
      <w:r>
        <w:rPr>
          <w:rFonts w:ascii="Times New Roman" w:hAnsi="Times New Roman"/>
          <w:b/>
          <w:color w:val="000000"/>
          <w:sz w:val="20"/>
        </w:rPr>
        <w:t>*217</w:t>
      </w:r>
      <w:bookmarkEnd w:id="22"/>
      <w:r>
        <w:rPr>
          <w:rFonts w:ascii="Times New Roman" w:hAnsi="Times New Roman"/>
          <w:color w:val="000000"/>
          <w:sz w:val="20"/>
        </w:rPr>
        <w:t xml:space="preserve"> J. F. </w:t>
      </w:r>
      <w:proofErr w:type="spellStart"/>
      <w:r>
        <w:rPr>
          <w:rFonts w:ascii="Times New Roman" w:hAnsi="Times New Roman"/>
          <w:color w:val="000000"/>
          <w:sz w:val="20"/>
        </w:rPr>
        <w:t>Puter</w:t>
      </w:r>
      <w:proofErr w:type="spellEnd"/>
      <w:r>
        <w:rPr>
          <w:rFonts w:ascii="Times New Roman" w:hAnsi="Times New Roman"/>
          <w:color w:val="000000"/>
          <w:sz w:val="20"/>
        </w:rPr>
        <w:t>, Barclay Henley, J. N. Gillett, and Atty. Gen. Hart, for respondent.</w:t>
      </w:r>
    </w:p>
    <w:p w14:paraId="63E9BE8B" w14:textId="77777777" w:rsidR="008B05A0" w:rsidRDefault="00386CBC">
      <w:pPr>
        <w:keepNext/>
        <w:keepLines/>
        <w:spacing w:before="200" w:after="0" w:line="275" w:lineRule="atLeast"/>
        <w:jc w:val="both"/>
      </w:pPr>
      <w:bookmarkStart w:id="23" w:name="co_opinion_1"/>
      <w:r>
        <w:rPr>
          <w:rFonts w:ascii="Times New Roman" w:hAnsi="Times New Roman"/>
          <w:b/>
          <w:color w:val="212121"/>
          <w:sz w:val="20"/>
        </w:rPr>
        <w:t>Opinion</w:t>
      </w:r>
    </w:p>
    <w:p w14:paraId="193FD8AE" w14:textId="77777777" w:rsidR="008B05A0" w:rsidRDefault="00386CBC">
      <w:pPr>
        <w:spacing w:before="200" w:after="0" w:line="275" w:lineRule="atLeast"/>
        <w:jc w:val="both"/>
      </w:pPr>
      <w:bookmarkStart w:id="24" w:name="co_pp_sp_220_218_1"/>
      <w:bookmarkStart w:id="25" w:name="co_anchor_I9bb5d5285ce711e08b05fdf15589"/>
      <w:bookmarkEnd w:id="23"/>
      <w:r>
        <w:rPr>
          <w:rFonts w:ascii="Times New Roman" w:hAnsi="Times New Roman"/>
          <w:b/>
          <w:color w:val="000000"/>
          <w:sz w:val="20"/>
        </w:rPr>
        <w:t>*218</w:t>
      </w:r>
      <w:bookmarkEnd w:id="24"/>
      <w:r>
        <w:rPr>
          <w:rFonts w:ascii="Times New Roman" w:hAnsi="Times New Roman"/>
          <w:color w:val="000000"/>
          <w:sz w:val="20"/>
        </w:rPr>
        <w:t xml:space="preserve"> TEMPLE, J.</w:t>
      </w:r>
    </w:p>
    <w:p w14:paraId="41683A31" w14:textId="77777777" w:rsidR="008B05A0" w:rsidRDefault="00386CBC">
      <w:pPr>
        <w:spacing w:before="400" w:after="0" w:line="275" w:lineRule="atLeast"/>
        <w:jc w:val="both"/>
      </w:pPr>
      <w:bookmarkStart w:id="26" w:name="co_anchor_I9bb5d52a5ce711e08b05fdf15589"/>
      <w:bookmarkEnd w:id="25"/>
      <w:r>
        <w:rPr>
          <w:rFonts w:ascii="Times New Roman" w:hAnsi="Times New Roman"/>
          <w:color w:val="000000"/>
          <w:sz w:val="20"/>
        </w:rPr>
        <w:t xml:space="preserve">This appeal is by the defendant from the judgment and upon the judgment roll. The action was brought on relation of the Ricks Water Company to abate certain structures as nuisances. Among other things, it was charged that the defendant had constructed and </w:t>
      </w:r>
      <w:r>
        <w:rPr>
          <w:rFonts w:ascii="Times New Roman" w:hAnsi="Times New Roman"/>
          <w:color w:val="000000"/>
          <w:sz w:val="20"/>
        </w:rPr>
        <w:t xml:space="preserve">was maintaining on the banks of the south fork of </w:t>
      </w:r>
      <w:proofErr w:type="gramStart"/>
      <w:r>
        <w:rPr>
          <w:rFonts w:ascii="Times New Roman" w:hAnsi="Times New Roman"/>
          <w:color w:val="000000"/>
          <w:sz w:val="20"/>
        </w:rPr>
        <w:t>Elk river</w:t>
      </w:r>
      <w:proofErr w:type="gramEnd"/>
      <w:r>
        <w:rPr>
          <w:rFonts w:ascii="Times New Roman" w:hAnsi="Times New Roman"/>
          <w:color w:val="000000"/>
          <w:sz w:val="20"/>
        </w:rPr>
        <w:t xml:space="preserve"> ‘a large sawmill, and also a cookhouse, outhouses, barn, and stables, and other fixtures which usually accompany a sawmill.’ It was averred ‘that said defendant has caused and permitted, and does </w:t>
      </w:r>
      <w:r>
        <w:rPr>
          <w:rFonts w:ascii="Times New Roman" w:hAnsi="Times New Roman"/>
          <w:color w:val="000000"/>
          <w:sz w:val="20"/>
        </w:rPr>
        <w:t>cause and permit, all sewage, offal, waste, and fetid matter from said sawmill, cookhouse, and stables to be drained and deposited in the waters of said stream, and continues to do so, thereby contaminating, polluting, and rendering the same unwholesome, a</w:t>
      </w:r>
      <w:r>
        <w:rPr>
          <w:rFonts w:ascii="Times New Roman" w:hAnsi="Times New Roman"/>
          <w:color w:val="000000"/>
          <w:sz w:val="20"/>
        </w:rPr>
        <w:t>nd unfit for culinary and other general domestic purposes, and offensive to the senses.’ As to most of the structures mentioned, the court found that they did not constitute nuisances, but it was found as follows: ‘That on the banks of said stream, just ab</w:t>
      </w:r>
      <w:r>
        <w:rPr>
          <w:rFonts w:ascii="Times New Roman" w:hAnsi="Times New Roman"/>
          <w:color w:val="000000"/>
          <w:sz w:val="20"/>
        </w:rPr>
        <w:t>ove the mill dam, defendant had erected a large stable, in which it houses from twenty-five to thirty head of cows; that the droppings from these cattle are deposited upon the banks of said stream, and near thereto, where the land gradually slopes to the s</w:t>
      </w:r>
      <w:r>
        <w:rPr>
          <w:rFonts w:ascii="Times New Roman" w:hAnsi="Times New Roman"/>
          <w:color w:val="000000"/>
          <w:sz w:val="20"/>
        </w:rPr>
        <w:t xml:space="preserve">ame; that there now exists at said point a pile of manure </w:t>
      </w:r>
      <w:bookmarkStart w:id="27" w:name="co_pp_sp_220_219_1"/>
      <w:r>
        <w:rPr>
          <w:rFonts w:ascii="Times New Roman" w:hAnsi="Times New Roman"/>
          <w:b/>
          <w:color w:val="000000"/>
          <w:sz w:val="20"/>
        </w:rPr>
        <w:t>*219</w:t>
      </w:r>
      <w:bookmarkEnd w:id="27"/>
      <w:r>
        <w:rPr>
          <w:rFonts w:ascii="Times New Roman" w:hAnsi="Times New Roman"/>
          <w:color w:val="000000"/>
          <w:sz w:val="20"/>
        </w:rPr>
        <w:t xml:space="preserve"> about seventy feet in length, eight feet deep, and sixteen to eighteen feet in width, and which has been accumulating there for years; that the defendant allows and permits this large pile of m</w:t>
      </w:r>
      <w:r>
        <w:rPr>
          <w:rFonts w:ascii="Times New Roman" w:hAnsi="Times New Roman"/>
          <w:color w:val="000000"/>
          <w:sz w:val="20"/>
        </w:rPr>
        <w:t xml:space="preserve">anure to lie there and rot on the bank of said stream, and the drainage therefrom flows directly into the waters of said stream, and pollutes the same, and renders the waters thereof offensive to the senses and unwholesome and </w:t>
      </w:r>
      <w:r>
        <w:rPr>
          <w:rFonts w:ascii="Times New Roman" w:hAnsi="Times New Roman"/>
          <w:color w:val="000000"/>
          <w:sz w:val="20"/>
        </w:rPr>
        <w:lastRenderedPageBreak/>
        <w:t>unfit for domestic uses; that</w:t>
      </w:r>
      <w:r>
        <w:rPr>
          <w:rFonts w:ascii="Times New Roman" w:hAnsi="Times New Roman"/>
          <w:color w:val="000000"/>
          <w:sz w:val="20"/>
        </w:rPr>
        <w:t xml:space="preserve"> defendant also maintains near said stream a corral or pen, in which it keeps abut twenty-five hogs; that the said stream forms one side of said pen, and the urine and droppings and filth from said hogs find their way into said stream, thereby polluting th</w:t>
      </w:r>
      <w:r>
        <w:rPr>
          <w:rFonts w:ascii="Times New Roman" w:hAnsi="Times New Roman"/>
          <w:color w:val="000000"/>
          <w:sz w:val="20"/>
        </w:rPr>
        <w:t xml:space="preserve">e waters thereof, and rendering the same offensive to the senses and unwholesome and unfit for domestic uses.’ And as matter of </w:t>
      </w:r>
      <w:proofErr w:type="gramStart"/>
      <w:r>
        <w:rPr>
          <w:rFonts w:ascii="Times New Roman" w:hAnsi="Times New Roman"/>
          <w:color w:val="000000"/>
          <w:sz w:val="20"/>
        </w:rPr>
        <w:t>law</w:t>
      </w:r>
      <w:proofErr w:type="gramEnd"/>
      <w:r>
        <w:rPr>
          <w:rFonts w:ascii="Times New Roman" w:hAnsi="Times New Roman"/>
          <w:color w:val="000000"/>
          <w:sz w:val="20"/>
        </w:rPr>
        <w:t xml:space="preserve"> it was found that the hog pen and manure pile constitute nuisances, and defendant was enjoined from maintaining them. From t</w:t>
      </w:r>
      <w:r>
        <w:rPr>
          <w:rFonts w:ascii="Times New Roman" w:hAnsi="Times New Roman"/>
          <w:color w:val="000000"/>
          <w:sz w:val="20"/>
        </w:rPr>
        <w:t>his part of the decree defendant appeals, and his first point is that this finding is not within the issues. The hog pen and manure pile are not mentioned in the complaint, and it is not found that they are such fixtures as usually accompany a sawmill. The</w:t>
      </w:r>
      <w:r>
        <w:rPr>
          <w:rFonts w:ascii="Times New Roman" w:hAnsi="Times New Roman"/>
          <w:color w:val="000000"/>
          <w:sz w:val="20"/>
        </w:rPr>
        <w:t xml:space="preserve"> complaint, however, speaks of outhouses and stables, and I think the findings sufficiently show that the cow stable and hog pen </w:t>
      </w:r>
      <w:proofErr w:type="gramStart"/>
      <w:r>
        <w:rPr>
          <w:rFonts w:ascii="Times New Roman" w:hAnsi="Times New Roman"/>
          <w:color w:val="000000"/>
          <w:sz w:val="20"/>
        </w:rPr>
        <w:t>are</w:t>
      </w:r>
      <w:proofErr w:type="gramEnd"/>
      <w:r>
        <w:rPr>
          <w:rFonts w:ascii="Times New Roman" w:hAnsi="Times New Roman"/>
          <w:color w:val="000000"/>
          <w:sz w:val="20"/>
        </w:rPr>
        <w:t xml:space="preserve"> maintained in connection with the mill plant; and, notwithstanding appellant's criticism, that the manure pile is caused by</w:t>
      </w:r>
      <w:r>
        <w:rPr>
          <w:rFonts w:ascii="Times New Roman" w:hAnsi="Times New Roman"/>
          <w:color w:val="000000"/>
          <w:sz w:val="20"/>
        </w:rPr>
        <w:t xml:space="preserve"> the cow stable. Beyond this, the complaint seems to be that the court did not suppress the stable itself, rather than the use of it, which renders it a nuisance. I do not think there was any error here of which the defendant can complain.</w:t>
      </w:r>
    </w:p>
    <w:bookmarkEnd w:id="26"/>
    <w:p w14:paraId="568D3F5E" w14:textId="77777777" w:rsidR="008B05A0" w:rsidRDefault="00386CBC">
      <w:pPr>
        <w:spacing w:before="200" w:after="0" w:line="275" w:lineRule="atLeast"/>
        <w:jc w:val="both"/>
      </w:pPr>
      <w:r>
        <w:rPr>
          <w:rFonts w:ascii="Times New Roman" w:hAnsi="Times New Roman"/>
          <w:color w:val="000000"/>
          <w:sz w:val="20"/>
        </w:rPr>
        <w:t>2. The court fou</w:t>
      </w:r>
      <w:r>
        <w:rPr>
          <w:rFonts w:ascii="Times New Roman" w:hAnsi="Times New Roman"/>
          <w:color w:val="000000"/>
          <w:sz w:val="20"/>
        </w:rPr>
        <w:t xml:space="preserve">nd that </w:t>
      </w:r>
      <w:proofErr w:type="gramStart"/>
      <w:r>
        <w:rPr>
          <w:rFonts w:ascii="Times New Roman" w:hAnsi="Times New Roman"/>
          <w:color w:val="000000"/>
          <w:sz w:val="20"/>
        </w:rPr>
        <w:t>Elk river</w:t>
      </w:r>
      <w:proofErr w:type="gramEnd"/>
      <w:r>
        <w:rPr>
          <w:rFonts w:ascii="Times New Roman" w:hAnsi="Times New Roman"/>
          <w:color w:val="000000"/>
          <w:sz w:val="20"/>
        </w:rPr>
        <w:t xml:space="preserve"> is not a navigable stream. It is contended that it follows from that fact that fouling its waters cannot constitute a public nuisance. But it is found that ‘the waters of </w:t>
      </w:r>
      <w:proofErr w:type="gramStart"/>
      <w:r>
        <w:rPr>
          <w:rFonts w:ascii="Times New Roman" w:hAnsi="Times New Roman"/>
          <w:color w:val="000000"/>
          <w:sz w:val="20"/>
        </w:rPr>
        <w:t>Elk river</w:t>
      </w:r>
      <w:proofErr w:type="gramEnd"/>
      <w:r>
        <w:rPr>
          <w:rFonts w:ascii="Times New Roman" w:hAnsi="Times New Roman"/>
          <w:color w:val="000000"/>
          <w:sz w:val="20"/>
        </w:rPr>
        <w:t xml:space="preserve"> at and below the defendant's dam were, and have been, and</w:t>
      </w:r>
      <w:r>
        <w:rPr>
          <w:rFonts w:ascii="Times New Roman" w:hAnsi="Times New Roman"/>
          <w:color w:val="000000"/>
          <w:sz w:val="20"/>
        </w:rPr>
        <w:t xml:space="preserve"> now are, used by a considerable number of persons, who reside along the banks of said stream below the defendant's </w:t>
      </w:r>
      <w:bookmarkStart w:id="28" w:name="co_pp_sp_220_220_1"/>
      <w:r>
        <w:rPr>
          <w:rFonts w:ascii="Times New Roman" w:hAnsi="Times New Roman"/>
          <w:b/>
          <w:color w:val="000000"/>
          <w:sz w:val="20"/>
        </w:rPr>
        <w:t>*220</w:t>
      </w:r>
      <w:bookmarkEnd w:id="28"/>
      <w:r>
        <w:rPr>
          <w:rFonts w:ascii="Times New Roman" w:hAnsi="Times New Roman"/>
          <w:color w:val="000000"/>
          <w:sz w:val="20"/>
        </w:rPr>
        <w:t xml:space="preserve"> mill and dam.’ This constitutes such a public use as would make a pollution of the water by any unreasonable use a public nuisance. We </w:t>
      </w:r>
      <w:r>
        <w:rPr>
          <w:rFonts w:ascii="Times New Roman" w:hAnsi="Times New Roman"/>
          <w:color w:val="000000"/>
          <w:sz w:val="20"/>
        </w:rPr>
        <w:t>may leave out of view, therefore, the claims of the Ricks Water Company and the inhabitants of the city of Eureka altogether. While, as to lower riparian owners, the defendant is entitled to a reasonable use of the water, he has no right to pollute the str</w:t>
      </w:r>
      <w:r>
        <w:rPr>
          <w:rFonts w:ascii="Times New Roman" w:hAnsi="Times New Roman"/>
          <w:color w:val="000000"/>
          <w:sz w:val="20"/>
        </w:rPr>
        <w:t xml:space="preserve">eam by putting such matter directly into it. The decision does not go to the extent that appellant apprehends. It does not determine that one may not </w:t>
      </w:r>
      <w:proofErr w:type="spellStart"/>
      <w:r>
        <w:rPr>
          <w:rFonts w:ascii="Times New Roman" w:hAnsi="Times New Roman"/>
          <w:color w:val="000000"/>
          <w:sz w:val="20"/>
        </w:rPr>
        <w:t>depasture</w:t>
      </w:r>
      <w:proofErr w:type="spellEnd"/>
      <w:r>
        <w:rPr>
          <w:rFonts w:ascii="Times New Roman" w:hAnsi="Times New Roman"/>
          <w:color w:val="000000"/>
          <w:sz w:val="20"/>
        </w:rPr>
        <w:t xml:space="preserve"> stock upon the lands comprising the watershed drained by the river, because they would necessari</w:t>
      </w:r>
      <w:r>
        <w:rPr>
          <w:rFonts w:ascii="Times New Roman" w:hAnsi="Times New Roman"/>
          <w:color w:val="000000"/>
          <w:sz w:val="20"/>
        </w:rPr>
        <w:t>ly pollute the water, nor that he cannot maintain stables and hog pens upon the land, but only that they must not be in, or directly upon, the banks of the stream. It holds that this is an unreasonable use of such streams by a riparian owner as against low</w:t>
      </w:r>
      <w:r>
        <w:rPr>
          <w:rFonts w:ascii="Times New Roman" w:hAnsi="Times New Roman"/>
          <w:color w:val="000000"/>
          <w:sz w:val="20"/>
        </w:rPr>
        <w:t xml:space="preserve">er riparian owners. But if stock, not confined upon the </w:t>
      </w:r>
      <w:proofErr w:type="gramStart"/>
      <w:r>
        <w:rPr>
          <w:rFonts w:ascii="Times New Roman" w:hAnsi="Times New Roman"/>
          <w:color w:val="000000"/>
          <w:sz w:val="20"/>
        </w:rPr>
        <w:t>river banks</w:t>
      </w:r>
      <w:proofErr w:type="gramEnd"/>
      <w:r>
        <w:rPr>
          <w:rFonts w:ascii="Times New Roman" w:hAnsi="Times New Roman"/>
          <w:color w:val="000000"/>
          <w:sz w:val="20"/>
        </w:rPr>
        <w:t xml:space="preserve">, following their natural instincts, cause such pollution, it would be a </w:t>
      </w:r>
      <w:r>
        <w:rPr>
          <w:rFonts w:ascii="Times New Roman" w:hAnsi="Times New Roman"/>
          <w:color w:val="000000"/>
          <w:sz w:val="20"/>
        </w:rPr>
        <w:t xml:space="preserve">different matter. So, if the hog pen and the cow stable were at a reasonable distance from the river, the fact that </w:t>
      </w:r>
      <w:r>
        <w:rPr>
          <w:rFonts w:ascii="Times New Roman" w:hAnsi="Times New Roman"/>
          <w:color w:val="000000"/>
          <w:sz w:val="20"/>
        </w:rPr>
        <w:t xml:space="preserve">the winter rains washed some impurities into the stream would be something of which lower riparian proprietors could not complain. The acts enjoined are equivalent to </w:t>
      </w:r>
      <w:proofErr w:type="gramStart"/>
      <w:r>
        <w:rPr>
          <w:rFonts w:ascii="Times New Roman" w:hAnsi="Times New Roman"/>
          <w:color w:val="000000"/>
          <w:sz w:val="20"/>
        </w:rPr>
        <w:t>actually putting</w:t>
      </w:r>
      <w:proofErr w:type="gramEnd"/>
      <w:r>
        <w:rPr>
          <w:rFonts w:ascii="Times New Roman" w:hAnsi="Times New Roman"/>
          <w:color w:val="000000"/>
          <w:sz w:val="20"/>
        </w:rPr>
        <w:t xml:space="preserve"> the polluting material directly into the water. If the conformation </w:t>
      </w:r>
      <w:bookmarkStart w:id="29" w:name="co_pp_sp_660_488_1"/>
      <w:r>
        <w:rPr>
          <w:rFonts w:ascii="Times New Roman" w:hAnsi="Times New Roman"/>
          <w:b/>
          <w:color w:val="000000"/>
          <w:sz w:val="20"/>
        </w:rPr>
        <w:t>**48</w:t>
      </w:r>
      <w:r>
        <w:rPr>
          <w:rFonts w:ascii="Times New Roman" w:hAnsi="Times New Roman"/>
          <w:b/>
          <w:color w:val="000000"/>
          <w:sz w:val="20"/>
        </w:rPr>
        <w:t>8</w:t>
      </w:r>
      <w:bookmarkEnd w:id="29"/>
      <w:r>
        <w:rPr>
          <w:rFonts w:ascii="Times New Roman" w:hAnsi="Times New Roman"/>
          <w:color w:val="000000"/>
          <w:sz w:val="20"/>
        </w:rPr>
        <w:t xml:space="preserve"> of defendant's land is such that he cannot carry on a dairy without putting such filth directly into the water, then he must find some other use for the land. This seems to be the effect of the rule laid down in </w:t>
      </w:r>
      <w:hyperlink r:id="rId13">
        <w:r>
          <w:rPr>
            <w:rFonts w:ascii="Times New Roman" w:hAnsi="Times New Roman"/>
            <w:noProof/>
            <w:color w:val="0E568C"/>
            <w:sz w:val="30"/>
          </w:rPr>
          <w:drawing>
            <wp:inline distT="0" distB="0" distL="0" distR="0" wp14:anchorId="3EC1ECC8" wp14:editId="30A58030">
              <wp:extent cx="161925" cy="161925"/>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6"/>
                      <a:srcRect/>
                      <a:stretch>
                        <a:fillRect/>
                      </a:stretch>
                    </pic:blipFill>
                    <pic:spPr>
                      <a:xfrm>
                        <a:off x="0" y="0"/>
                        <a:ext cx="161925" cy="161925"/>
                      </a:xfrm>
                      <a:prstGeom prst="rect">
                        <a:avLst/>
                      </a:prstGeom>
                    </pic:spPr>
                  </pic:pic>
                </a:graphicData>
              </a:graphic>
            </wp:inline>
          </w:drawing>
        </w:r>
      </w:hyperlink>
      <w:hyperlink r:id="rId14">
        <w:r>
          <w:rPr>
            <w:rFonts w:ascii="Times New Roman" w:hAnsi="Times New Roman"/>
            <w:color w:val="0E568C"/>
            <w:sz w:val="20"/>
          </w:rPr>
          <w:t>People v. Gold Run Ditch &amp; Mi</w:t>
        </w:r>
        <w:r>
          <w:rPr>
            <w:rFonts w:ascii="Times New Roman" w:hAnsi="Times New Roman"/>
            <w:color w:val="0E568C"/>
            <w:sz w:val="20"/>
          </w:rPr>
          <w:t>ning Co., 66 Cal. 138, 4 Pac. 1152.</w:t>
        </w:r>
      </w:hyperlink>
      <w:r>
        <w:rPr>
          <w:rFonts w:ascii="Times New Roman" w:hAnsi="Times New Roman"/>
          <w:color w:val="000000"/>
          <w:sz w:val="20"/>
        </w:rPr>
        <w:t xml:space="preserve"> The judgment is affirmed.</w:t>
      </w:r>
    </w:p>
    <w:p w14:paraId="03C4E3A0" w14:textId="77777777" w:rsidR="008B05A0" w:rsidRDefault="00386CBC">
      <w:pPr>
        <w:spacing w:before="600" w:after="0" w:line="275" w:lineRule="atLeast"/>
        <w:jc w:val="both"/>
      </w:pPr>
      <w:r>
        <w:rPr>
          <w:rFonts w:ascii="Times New Roman" w:hAnsi="Times New Roman"/>
          <w:color w:val="000000"/>
          <w:sz w:val="20"/>
        </w:rPr>
        <w:t xml:space="preserve">We concur: </w:t>
      </w:r>
      <w:proofErr w:type="spellStart"/>
      <w:r>
        <w:rPr>
          <w:rFonts w:ascii="Times New Roman" w:hAnsi="Times New Roman"/>
          <w:color w:val="000000"/>
          <w:sz w:val="20"/>
        </w:rPr>
        <w:t>McFARLAND</w:t>
      </w:r>
      <w:proofErr w:type="spellEnd"/>
      <w:r>
        <w:rPr>
          <w:rFonts w:ascii="Times New Roman" w:hAnsi="Times New Roman"/>
          <w:color w:val="000000"/>
          <w:sz w:val="20"/>
        </w:rPr>
        <w:t>, J.; HENSHAW, J.</w:t>
      </w:r>
    </w:p>
    <w:p w14:paraId="335D28DF" w14:textId="77777777" w:rsidR="008B05A0" w:rsidRDefault="00386CBC">
      <w:pPr>
        <w:keepNext/>
        <w:keepLines/>
        <w:spacing w:before="400" w:after="0" w:line="275" w:lineRule="atLeast"/>
        <w:jc w:val="both"/>
      </w:pPr>
      <w:bookmarkStart w:id="30" w:name="co_allCitations_1"/>
      <w:r>
        <w:rPr>
          <w:rFonts w:ascii="Times New Roman" w:hAnsi="Times New Roman"/>
          <w:b/>
          <w:color w:val="212121"/>
          <w:sz w:val="20"/>
        </w:rPr>
        <w:t>All Citations</w:t>
      </w:r>
    </w:p>
    <w:bookmarkEnd w:id="30"/>
    <w:p w14:paraId="17F5D240" w14:textId="77777777" w:rsidR="008B05A0" w:rsidRDefault="00386CBC">
      <w:pPr>
        <w:spacing w:before="200" w:after="0" w:line="275" w:lineRule="atLeast"/>
        <w:jc w:val="both"/>
      </w:pPr>
      <w:r>
        <w:rPr>
          <w:rFonts w:ascii="Times New Roman" w:hAnsi="Times New Roman"/>
          <w:color w:val="000000"/>
          <w:sz w:val="20"/>
        </w:rPr>
        <w:t>107 Cal. 214, 40 P. 486</w:t>
      </w:r>
    </w:p>
    <w:p w14:paraId="4C8F8F8E" w14:textId="77777777" w:rsidR="008B05A0" w:rsidRDefault="008B05A0">
      <w:pPr>
        <w:sectPr w:rsidR="008B05A0">
          <w:headerReference w:type="even" r:id="rId15"/>
          <w:headerReference w:type="default" r:id="rId16"/>
          <w:footerReference w:type="even" r:id="rId17"/>
          <w:footerReference w:type="default" r:id="rId18"/>
          <w:pgSz w:w="12240" w:h="15840"/>
          <w:pgMar w:top="1080" w:right="1080" w:bottom="1080" w:left="1080" w:header="720" w:footer="720" w:gutter="0"/>
          <w:pgNumType w:start="1"/>
          <w:cols w:num="2" w:space="240"/>
        </w:sectPr>
      </w:pPr>
    </w:p>
    <w:p w14:paraId="3A831E2B" w14:textId="77777777" w:rsidR="008B05A0" w:rsidRDefault="008B05A0">
      <w:pPr>
        <w:spacing w:after="0" w:line="240" w:lineRule="auto"/>
        <w:rPr>
          <w:sz w:val="60"/>
        </w:rPr>
      </w:pPr>
    </w:p>
    <w:tbl>
      <w:tblPr>
        <w:tblW w:w="0" w:type="auto"/>
        <w:tblInd w:w="10" w:type="dxa"/>
        <w:tblLayout w:type="fixed"/>
        <w:tblCellMar>
          <w:left w:w="10" w:type="dxa"/>
          <w:right w:w="10" w:type="dxa"/>
        </w:tblCellMar>
        <w:tblLook w:val="04A0" w:firstRow="1" w:lastRow="0" w:firstColumn="1" w:lastColumn="0" w:noHBand="0" w:noVBand="1"/>
      </w:tblPr>
      <w:tblGrid>
        <w:gridCol w:w="600"/>
        <w:gridCol w:w="9450"/>
      </w:tblGrid>
      <w:tr w:rsidR="00CC7C93" w14:paraId="01498418" w14:textId="77777777" w:rsidTr="00CC7C93">
        <w:tblPrEx>
          <w:tblCellMar>
            <w:top w:w="0" w:type="dxa"/>
            <w:bottom w:w="0" w:type="dxa"/>
          </w:tblCellMar>
        </w:tblPrEx>
        <w:tc>
          <w:tcPr>
            <w:tcW w:w="10050" w:type="dxa"/>
            <w:gridSpan w:val="2"/>
            <w:tcMar>
              <w:bottom w:w="300" w:type="dxa"/>
            </w:tcMar>
          </w:tcPr>
          <w:p w14:paraId="53291A75" w14:textId="77777777" w:rsidR="008B05A0" w:rsidRDefault="00386CBC">
            <w:pPr>
              <w:spacing w:after="0" w:line="275" w:lineRule="atLeast"/>
              <w:jc w:val="center"/>
            </w:pPr>
            <w:r>
              <w:rPr>
                <w:rFonts w:ascii="Times New Roman" w:hAnsi="Times New Roman"/>
                <w:b/>
                <w:color w:val="000000"/>
              </w:rPr>
              <w:t>Footnotes</w:t>
            </w:r>
          </w:p>
        </w:tc>
      </w:tr>
      <w:bookmarkStart w:id="31" w:name="co_footnote_B00111895003366_1"/>
      <w:tr w:rsidR="008B05A0" w14:paraId="38F00A4A" w14:textId="77777777">
        <w:tblPrEx>
          <w:tblCellMar>
            <w:top w:w="0" w:type="dxa"/>
            <w:bottom w:w="0" w:type="dxa"/>
          </w:tblCellMar>
        </w:tblPrEx>
        <w:tc>
          <w:tcPr>
            <w:tcW w:w="600" w:type="dxa"/>
          </w:tcPr>
          <w:p w14:paraId="7C5D34CD" w14:textId="77777777" w:rsidR="008B05A0" w:rsidRDefault="00386CBC">
            <w:pPr>
              <w:spacing w:after="0" w:line="275" w:lineRule="atLeast"/>
            </w:pPr>
            <w:r>
              <w:fldChar w:fldCharType="begin"/>
            </w:r>
            <w:r>
              <w:instrText xml:space="preserve"> HYPERLINK \l "co_fnRef_B00111895003366_ID0EDG_1" \h </w:instrText>
            </w:r>
            <w:r>
              <w:fldChar w:fldCharType="separate"/>
            </w:r>
            <w:r>
              <w:rPr>
                <w:rFonts w:ascii="Times New Roman" w:hAnsi="Times New Roman"/>
                <w:color w:val="0E568C"/>
                <w:sz w:val="20"/>
                <w:vertAlign w:val="superscript"/>
              </w:rPr>
              <w:t>1</w:t>
            </w:r>
            <w:r>
              <w:rPr>
                <w:rFonts w:ascii="Times New Roman" w:hAnsi="Times New Roman"/>
                <w:color w:val="0E568C"/>
                <w:sz w:val="20"/>
                <w:vertAlign w:val="superscript"/>
              </w:rPr>
              <w:fldChar w:fldCharType="end"/>
            </w:r>
            <w:bookmarkEnd w:id="31"/>
          </w:p>
        </w:tc>
        <w:tc>
          <w:tcPr>
            <w:tcW w:w="9450" w:type="dxa"/>
          </w:tcPr>
          <w:p w14:paraId="1EBFA37F" w14:textId="77777777" w:rsidR="008B05A0" w:rsidRDefault="00386CBC">
            <w:pPr>
              <w:pBdr>
                <w:bottom w:val="none" w:sz="0" w:space="8" w:color="auto"/>
              </w:pBdr>
              <w:spacing w:after="0" w:line="275" w:lineRule="atLeast"/>
              <w:jc w:val="both"/>
            </w:pPr>
            <w:r>
              <w:rPr>
                <w:rFonts w:ascii="Times New Roman" w:hAnsi="Times New Roman"/>
                <w:color w:val="000000"/>
                <w:sz w:val="20"/>
              </w:rPr>
              <w:t>Rehearing denied.</w:t>
            </w:r>
          </w:p>
        </w:tc>
      </w:tr>
    </w:tbl>
    <w:p w14:paraId="6BC799D6" w14:textId="77777777" w:rsidR="008B05A0" w:rsidRDefault="008B05A0">
      <w:pPr>
        <w:spacing w:after="0" w:line="240" w:lineRule="auto"/>
        <w:rPr>
          <w:sz w:val="24"/>
        </w:rPr>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8B05A0" w14:paraId="2F834459" w14:textId="77777777">
        <w:tblPrEx>
          <w:tblCellMar>
            <w:top w:w="0" w:type="dxa"/>
            <w:bottom w:w="0" w:type="dxa"/>
          </w:tblCellMar>
        </w:tblPrEx>
        <w:tc>
          <w:tcPr>
            <w:tcW w:w="4305" w:type="dxa"/>
            <w:tcBorders>
              <w:top w:val="single" w:sz="4" w:space="0" w:color="777777"/>
            </w:tcBorders>
            <w:tcMar>
              <w:top w:w="75" w:type="dxa"/>
              <w:left w:w="24" w:type="dxa"/>
              <w:right w:w="24" w:type="dxa"/>
            </w:tcMar>
          </w:tcPr>
          <w:p w14:paraId="6365A897" w14:textId="77777777" w:rsidR="008B05A0" w:rsidRDefault="00386CBC">
            <w:pPr>
              <w:spacing w:after="0" w:line="235" w:lineRule="atLeast"/>
            </w:pPr>
            <w:r>
              <w:rPr>
                <w:rFonts w:ascii="Times New Roman" w:hAnsi="Times New Roman"/>
                <w:b/>
                <w:color w:val="777777"/>
                <w:sz w:val="16"/>
              </w:rPr>
              <w:t>End of Document</w:t>
            </w:r>
          </w:p>
        </w:tc>
        <w:tc>
          <w:tcPr>
            <w:tcW w:w="5745" w:type="dxa"/>
            <w:tcBorders>
              <w:top w:val="single" w:sz="4" w:space="0" w:color="777777"/>
            </w:tcBorders>
            <w:tcMar>
              <w:top w:w="75" w:type="dxa"/>
              <w:left w:w="24" w:type="dxa"/>
              <w:right w:w="24" w:type="dxa"/>
            </w:tcMar>
          </w:tcPr>
          <w:p w14:paraId="4E01A0D1" w14:textId="77777777" w:rsidR="008B05A0" w:rsidRDefault="00386CBC">
            <w:pPr>
              <w:spacing w:after="0" w:line="235" w:lineRule="atLeast"/>
              <w:jc w:val="right"/>
            </w:pPr>
            <w:r>
              <w:rPr>
                <w:rFonts w:ascii="Times New Roman" w:hAnsi="Times New Roman"/>
                <w:color w:val="777777"/>
                <w:sz w:val="16"/>
              </w:rPr>
              <w:t xml:space="preserve">© 2022 Thomson Reuters. No claim to original U.S. </w:t>
            </w:r>
            <w:r>
              <w:rPr>
                <w:rFonts w:ascii="Times New Roman" w:hAnsi="Times New Roman"/>
                <w:color w:val="777777"/>
                <w:sz w:val="16"/>
              </w:rPr>
              <w:t>Government Works.</w:t>
            </w:r>
          </w:p>
        </w:tc>
      </w:tr>
    </w:tbl>
    <w:p w14:paraId="59E1DCAD" w14:textId="77777777" w:rsidR="00386CBC" w:rsidRDefault="00386CBC"/>
    <w:sectPr w:rsidR="00386CBC">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E5DE" w14:textId="77777777" w:rsidR="00386CBC" w:rsidRDefault="00386CBC">
      <w:pPr>
        <w:spacing w:after="0" w:line="240" w:lineRule="auto"/>
      </w:pPr>
      <w:r>
        <w:separator/>
      </w:r>
    </w:p>
  </w:endnote>
  <w:endnote w:type="continuationSeparator" w:id="0">
    <w:p w14:paraId="7323F76E" w14:textId="77777777" w:rsidR="00386CBC" w:rsidRDefault="0038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8B05A0" w14:paraId="0C318304" w14:textId="77777777">
      <w:tblPrEx>
        <w:tblCellMar>
          <w:top w:w="0" w:type="dxa"/>
          <w:bottom w:w="0" w:type="dxa"/>
        </w:tblCellMar>
      </w:tblPrEx>
      <w:tc>
        <w:tcPr>
          <w:tcW w:w="9270" w:type="dxa"/>
          <w:tcBorders>
            <w:top w:val="single" w:sz="6" w:space="0" w:color="AAAAAA"/>
          </w:tcBorders>
          <w:tcMar>
            <w:top w:w="60" w:type="dxa"/>
          </w:tcMar>
          <w:vAlign w:val="bottom"/>
        </w:tcPr>
        <w:p w14:paraId="52BB02A4" w14:textId="77777777" w:rsidR="008B05A0" w:rsidRDefault="00386CBC">
          <w:pPr>
            <w:spacing w:after="0" w:line="240" w:lineRule="auto"/>
          </w:pPr>
          <w:r>
            <w:rPr>
              <w:rFonts w:ascii="Arial" w:hAnsi="Arial"/>
              <w:noProof/>
              <w:color w:val="AAAAAA"/>
              <w:sz w:val="20"/>
            </w:rPr>
            <w:drawing>
              <wp:inline distT="0" distB="0" distL="0" distR="0" wp14:anchorId="7C9242E3" wp14:editId="121D0BC8">
                <wp:extent cx="742950" cy="95250"/>
                <wp:effectExtent l="0" t="0" r="0" b="0"/>
                <wp:docPr id="2" name="Picture 0" descr="Westlaw Logo"/>
                <wp:cNvGraphicFramePr/>
                <a:graphic xmlns:a="http://schemas.openxmlformats.org/drawingml/2006/main">
                  <a:graphicData uri="http://schemas.openxmlformats.org/drawingml/2006/picture">
                    <pic:pic xmlns:pic="http://schemas.openxmlformats.org/drawingml/2006/picture">
                      <pic:nvPicPr>
                        <pic:cNvPr id="10"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6B613B6C" w14:textId="77777777" w:rsidR="008B05A0" w:rsidRDefault="00386CBC">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8B05A0" w14:paraId="1AEE1F4A" w14:textId="77777777">
      <w:tblPrEx>
        <w:tblCellMar>
          <w:top w:w="0" w:type="dxa"/>
          <w:bottom w:w="0" w:type="dxa"/>
        </w:tblCellMar>
      </w:tblPrEx>
      <w:tc>
        <w:tcPr>
          <w:tcW w:w="9270" w:type="dxa"/>
          <w:tcBorders>
            <w:top w:val="single" w:sz="6" w:space="0" w:color="AAAAAA"/>
          </w:tcBorders>
          <w:tcMar>
            <w:top w:w="60" w:type="dxa"/>
          </w:tcMar>
          <w:vAlign w:val="bottom"/>
        </w:tcPr>
        <w:p w14:paraId="47AA1EB3" w14:textId="77777777" w:rsidR="008B05A0" w:rsidRDefault="00386CBC">
          <w:pPr>
            <w:spacing w:after="0" w:line="240" w:lineRule="auto"/>
          </w:pPr>
          <w:r>
            <w:rPr>
              <w:rFonts w:ascii="Arial" w:hAnsi="Arial"/>
              <w:noProof/>
              <w:color w:val="AAAAAA"/>
              <w:sz w:val="20"/>
            </w:rPr>
            <w:drawing>
              <wp:inline distT="0" distB="0" distL="0" distR="0" wp14:anchorId="7F59C14F" wp14:editId="3159E2BF">
                <wp:extent cx="742950" cy="95250"/>
                <wp:effectExtent l="0" t="0" r="0" b="0"/>
                <wp:docPr id="9" name="Picture 0" descr="Westlaw Logo"/>
                <wp:cNvGraphicFramePr/>
                <a:graphic xmlns:a="http://schemas.openxmlformats.org/drawingml/2006/main">
                  <a:graphicData uri="http://schemas.openxmlformats.org/drawingml/2006/picture">
                    <pic:pic xmlns:pic="http://schemas.openxmlformats.org/drawingml/2006/picture">
                      <pic:nvPicPr>
                        <pic:cNvPr id="10"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64689377" w14:textId="77777777" w:rsidR="008B05A0" w:rsidRDefault="00386CBC">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7733" w14:textId="77777777" w:rsidR="00386CBC" w:rsidRDefault="00386CBC">
      <w:pPr>
        <w:spacing w:after="0" w:line="240" w:lineRule="auto"/>
      </w:pPr>
      <w:r>
        <w:separator/>
      </w:r>
    </w:p>
  </w:footnote>
  <w:footnote w:type="continuationSeparator" w:id="0">
    <w:p w14:paraId="0C2B5CF8" w14:textId="77777777" w:rsidR="00386CBC" w:rsidRDefault="0038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8B05A0" w14:paraId="64F6EE0E"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01BA6E86" w14:textId="77777777" w:rsidR="008B05A0" w:rsidRDefault="00386CBC">
          <w:pPr>
            <w:spacing w:after="0" w:line="240" w:lineRule="auto"/>
          </w:pPr>
          <w:r>
            <w:rPr>
              <w:rFonts w:ascii="Arial" w:hAnsi="Arial"/>
              <w:b/>
              <w:color w:val="555555"/>
              <w:sz w:val="18"/>
            </w:rPr>
            <w:t>People ex rel. Ricks Water Co. v. Elk River Mill &amp; Lumber Co., 107 Cal. 214 (1895)</w:t>
          </w:r>
        </w:p>
      </w:tc>
      <w:tc>
        <w:tcPr>
          <w:tcW w:w="705" w:type="dxa"/>
          <w:tcBorders>
            <w:bottom w:val="single" w:sz="6" w:space="0" w:color="AAAAAA"/>
          </w:tcBorders>
          <w:tcMar>
            <w:top w:w="390" w:type="dxa"/>
            <w:bottom w:w="60" w:type="dxa"/>
          </w:tcMar>
        </w:tcPr>
        <w:p w14:paraId="682EC2E0" w14:textId="77777777" w:rsidR="008B05A0" w:rsidRDefault="008B05A0">
          <w:pPr>
            <w:spacing w:after="0" w:line="240" w:lineRule="auto"/>
            <w:rPr>
              <w:rFonts w:ascii="Arial" w:hAnsi="Arial"/>
              <w:color w:val="000000"/>
              <w:sz w:val="18"/>
            </w:rPr>
          </w:pPr>
        </w:p>
      </w:tc>
    </w:tr>
    <w:tr w:rsidR="00CC7C93" w14:paraId="7605A22E" w14:textId="77777777" w:rsidTr="00CC7C93">
      <w:tblPrEx>
        <w:tblCellMar>
          <w:top w:w="0" w:type="dxa"/>
          <w:bottom w:w="0" w:type="dxa"/>
        </w:tblCellMar>
      </w:tblPrEx>
      <w:tc>
        <w:tcPr>
          <w:tcW w:w="10065" w:type="dxa"/>
          <w:gridSpan w:val="2"/>
        </w:tcPr>
        <w:p w14:paraId="70178864" w14:textId="77777777" w:rsidR="008B05A0" w:rsidRDefault="00386CBC">
          <w:pPr>
            <w:spacing w:after="0" w:line="240" w:lineRule="auto"/>
          </w:pPr>
          <w:r>
            <w:rPr>
              <w:rFonts w:ascii="Arial" w:hAnsi="Arial"/>
              <w:color w:val="000000"/>
              <w:sz w:val="18"/>
            </w:rPr>
            <w:t>40 P. 486</w:t>
          </w:r>
        </w:p>
      </w:tc>
    </w:tr>
  </w:tbl>
  <w:p w14:paraId="512BC522" w14:textId="77777777" w:rsidR="008B05A0" w:rsidRDefault="00386CBC">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8B05A0" w14:paraId="6DD9C5C4"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20904945" w14:textId="77777777" w:rsidR="008B05A0" w:rsidRDefault="00386CBC">
          <w:pPr>
            <w:spacing w:after="0" w:line="240" w:lineRule="auto"/>
          </w:pPr>
          <w:r>
            <w:rPr>
              <w:rFonts w:ascii="Arial" w:hAnsi="Arial"/>
              <w:b/>
              <w:color w:val="555555"/>
              <w:sz w:val="18"/>
            </w:rPr>
            <w:t>People ex rel. Ricks Water Co. v. Elk River Mill &amp; Lumber Co., 107 Cal. 214 (1895)</w:t>
          </w:r>
        </w:p>
      </w:tc>
      <w:tc>
        <w:tcPr>
          <w:tcW w:w="705" w:type="dxa"/>
          <w:tcBorders>
            <w:bottom w:val="single" w:sz="6" w:space="0" w:color="AAAAAA"/>
          </w:tcBorders>
          <w:tcMar>
            <w:top w:w="390" w:type="dxa"/>
            <w:bottom w:w="60" w:type="dxa"/>
          </w:tcMar>
        </w:tcPr>
        <w:p w14:paraId="5A579AC8" w14:textId="77777777" w:rsidR="008B05A0" w:rsidRDefault="008B05A0">
          <w:pPr>
            <w:spacing w:after="0" w:line="240" w:lineRule="auto"/>
            <w:rPr>
              <w:rFonts w:ascii="Arial" w:hAnsi="Arial"/>
              <w:color w:val="000000"/>
              <w:sz w:val="18"/>
            </w:rPr>
          </w:pPr>
        </w:p>
      </w:tc>
    </w:tr>
    <w:tr w:rsidR="00CC7C93" w14:paraId="3DB27D66" w14:textId="77777777" w:rsidTr="00CC7C93">
      <w:tblPrEx>
        <w:tblCellMar>
          <w:top w:w="0" w:type="dxa"/>
          <w:bottom w:w="0" w:type="dxa"/>
        </w:tblCellMar>
      </w:tblPrEx>
      <w:tc>
        <w:tcPr>
          <w:tcW w:w="10065" w:type="dxa"/>
          <w:gridSpan w:val="2"/>
        </w:tcPr>
        <w:p w14:paraId="5684EB9C" w14:textId="77777777" w:rsidR="008B05A0" w:rsidRDefault="00386CBC">
          <w:pPr>
            <w:spacing w:after="0" w:line="240" w:lineRule="auto"/>
          </w:pPr>
          <w:r>
            <w:rPr>
              <w:rFonts w:ascii="Arial" w:hAnsi="Arial"/>
              <w:color w:val="000000"/>
              <w:sz w:val="18"/>
            </w:rPr>
            <w:t>40 P. 486</w:t>
          </w:r>
        </w:p>
      </w:tc>
    </w:tr>
  </w:tbl>
  <w:p w14:paraId="03818A8D" w14:textId="77777777" w:rsidR="008B05A0" w:rsidRDefault="00386CBC">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A0"/>
    <w:rsid w:val="00386CBC"/>
    <w:rsid w:val="008B05A0"/>
    <w:rsid w:val="00CC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F06"/>
  <w15:docId w15:val="{7FF2A748-3A38-48CF-A489-77B65C93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law.com/Browse/Home/KeyNumber/405/View.html?docGuid=I06cc6f60faeb11d9b386b232635db992&amp;originationContext=document&amp;vr=3.0&amp;rs=cblt1.0&amp;transitionType=DocumentItem&amp;contextData=(sc.DocLink)" TargetMode="External"/><Relationship Id="rId13" Type="http://schemas.openxmlformats.org/officeDocument/2006/relationships/hyperlink" Target="https://1.next.westlaw.com/Link/RelatedInformation/Flag?documentGuid=Ie53235effae811d9b386b232635db992&amp;transitionType=InlineKeyCiteFlags&amp;originationContext=docHeaderFlag&amp;Rank=0&amp;ppcid=67952ca45e654b9d98a3225b44ceeff7&amp;contextData=(sc.DocLink)"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westlaw.com/Document/I31fe1ffa568411d9bf30d7fdf51b6bd4/View/FullText.html?navigationPath=RelatedInfo%2Fv4%2Fkeycite%2Fnav%2F%3Fguid%3DI31fe1ffa568411d9bf30d7fdf51b6bd4%26ss%3D1895003366%26ds%3D1999045185%26origDocGuid%3DI06cc6f60faeb11d9b386b232635db992&amp;listSource=RelatedInfo&amp;list=NegativeCitingReferences&amp;rank=0&amp;ppcid=67952ca45e654b9d98a3225b44ceeff7&amp;originationContext=docHeader&amp;transitionType=NegativeTreatment&amp;contextData=%28sc.DocLink%29&amp;VR=3.0&amp;RS=cblt1.0" TargetMode="External"/><Relationship Id="rId12" Type="http://schemas.openxmlformats.org/officeDocument/2006/relationships/hyperlink" Target="http://www.westlaw.com/Browse/Home/KeyNumber/405k1450.3/View.html?docGuid=I06cc6f60faeb11d9b386b232635db992&amp;originationContext=document&amp;vr=3.0&amp;rs=cblt1.0&amp;transitionType=DocumentItem&amp;contextData=(sc.DocLink)"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westlaw.com/Browse/Home/KeyNumber/405/View.html?docGuid=I06cc6f60faeb11d9b386b232635db992&amp;originationContext=document&amp;vr=3.0&amp;rs=cblt1.0&amp;transitionType=DocumentItem&amp;contextData=(sc.DocLin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westlaw.com/Browse/Home/KeyNumber/405k1358/View.html?docGuid=I06cc6f60faeb11d9b386b232635db992&amp;originationContext=document&amp;vr=3.0&amp;rs=cblt1.0&amp;transitionType=DocumentItem&amp;contextData=(sc.DocLink)"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westlaw.com/Link/Document/FullText?findType=Y&amp;serNum=1884004834&amp;pubNum=660&amp;originatingDoc=I06cc6f60faeb11d9b386b232635db992&amp;refType=RP&amp;originationContext=document&amp;vr=3.0&amp;rs=cblt1.0&amp;transitionType=DocumentItem&amp;contextData=(sc.Doc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Roos-Collins</dc:creator>
  <cp:lastModifiedBy>Richard Roos-Collins</cp:lastModifiedBy>
  <cp:revision>2</cp:revision>
  <dcterms:created xsi:type="dcterms:W3CDTF">2022-05-27T21:34:00Z</dcterms:created>
  <dcterms:modified xsi:type="dcterms:W3CDTF">2022-05-27T21:34:00Z</dcterms:modified>
</cp:coreProperties>
</file>