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C3248" w14:textId="77777777" w:rsidR="00085E50" w:rsidRDefault="00085E50">
      <w:pPr>
        <w:pBdr>
          <w:top w:val="none" w:sz="0" w:space="4" w:color="auto"/>
        </w:pBdr>
        <w:spacing w:after="0" w:line="275" w:lineRule="atLeast"/>
        <w:jc w:val="both"/>
      </w:pPr>
      <w:bookmarkStart w:id="0" w:name="I2d86d9b0fb0911d98ac8f235252e36df_Targe"/>
      <w:bookmarkStart w:id="1" w:name="co_document_1"/>
      <w:bookmarkEnd w:id="0"/>
    </w:p>
    <w:bookmarkStart w:id="2" w:name="co_readingModeCitatorFlag_1"/>
    <w:bookmarkStart w:id="3" w:name="co_readingModeKC_1"/>
    <w:bookmarkEnd w:id="1"/>
    <w:p w14:paraId="45E1E1DA" w14:textId="77777777" w:rsidR="00085E50" w:rsidRDefault="00773CFB">
      <w:pPr>
        <w:spacing w:after="0" w:line="235" w:lineRule="atLeast"/>
        <w:jc w:val="both"/>
      </w:pPr>
      <w:r>
        <w:fldChar w:fldCharType="begin"/>
      </w:r>
      <w:r>
        <w:instrText xml:space="preserve"> HYPERLINK "https://1.next.westlaw.com/Link/RelatedInformation/Flag?documentGuid=I53baa097fab311d9bf60c1d57ebc853e&amp;transitionType=Document&amp;originationContext=docHeaderFlag&amp;Rank=0&amp;ppcid=615d8167246b45b5a80aa81fb89ebc61&amp;contextData=(sc.Keycite)" \h </w:instrText>
      </w:r>
      <w:r>
        <w:fldChar w:fldCharType="separate"/>
      </w:r>
      <w:r>
        <w:rPr>
          <w:rFonts w:ascii="Times New Roman" w:hAnsi="Times New Roman"/>
          <w:noProof/>
          <w:color w:val="0E568C"/>
          <w:sz w:val="30"/>
        </w:rPr>
        <w:drawing>
          <wp:inline distT="0" distB="0" distL="0" distR="0" wp14:anchorId="652F2A8E" wp14:editId="5D807C60">
            <wp:extent cx="161925" cy="161925"/>
            <wp:effectExtent l="0" t="0" r="0" b="0"/>
            <wp:docPr id="1" name="Picture 1" descr="KeyCite Yellow Flag - Negative Treatment"/>
            <wp:cNvGraphicFramePr/>
            <a:graphic xmlns:a="http://schemas.openxmlformats.org/drawingml/2006/main">
              <a:graphicData uri="http://schemas.openxmlformats.org/drawingml/2006/picture">
                <pic:pic xmlns:pic="http://schemas.openxmlformats.org/drawingml/2006/picture">
                  <pic:nvPicPr>
                    <pic:cNvPr id="2" name="Picture 1" descr="KeyCite Yellow Flag - Negative Treatment"/>
                    <pic:cNvPicPr/>
                  </pic:nvPicPr>
                  <pic:blipFill>
                    <a:blip r:embed="rId6"/>
                    <a:srcRect/>
                    <a:stretch>
                      <a:fillRect/>
                    </a:stretch>
                  </pic:blipFill>
                  <pic:spPr>
                    <a:xfrm>
                      <a:off x="0" y="0"/>
                      <a:ext cx="161925" cy="161925"/>
                    </a:xfrm>
                    <a:prstGeom prst="rect">
                      <a:avLst/>
                    </a:prstGeom>
                  </pic:spPr>
                </pic:pic>
              </a:graphicData>
            </a:graphic>
          </wp:inline>
        </w:drawing>
      </w:r>
      <w:r>
        <w:rPr>
          <w:rFonts w:ascii="Times New Roman" w:hAnsi="Times New Roman"/>
          <w:noProof/>
          <w:color w:val="0E568C"/>
          <w:sz w:val="30"/>
        </w:rPr>
        <w:fldChar w:fldCharType="end"/>
      </w:r>
      <w:proofErr w:type="spellStart"/>
      <w:r>
        <w:rPr>
          <w:rFonts w:ascii="Times New Roman" w:hAnsi="Times New Roman"/>
          <w:color w:val="000000"/>
          <w:sz w:val="16"/>
        </w:rPr>
        <w:t>KeyCite</w:t>
      </w:r>
      <w:proofErr w:type="spellEnd"/>
      <w:r>
        <w:rPr>
          <w:rFonts w:ascii="Times New Roman" w:hAnsi="Times New Roman"/>
          <w:color w:val="000000"/>
          <w:sz w:val="16"/>
        </w:rPr>
        <w:t xml:space="preserve"> Yellow Flag - Negative Treatment</w:t>
      </w:r>
    </w:p>
    <w:p w14:paraId="05A23F0B" w14:textId="77777777" w:rsidR="00085E50" w:rsidRDefault="00773CFB">
      <w:pPr>
        <w:spacing w:after="0" w:line="235" w:lineRule="atLeast"/>
        <w:jc w:val="both"/>
      </w:pPr>
      <w:bookmarkStart w:id="4" w:name="co_readingModeNegativeTreatment_1"/>
      <w:bookmarkEnd w:id="2"/>
      <w:bookmarkEnd w:id="3"/>
      <w:r>
        <w:rPr>
          <w:rFonts w:ascii="Times New Roman" w:hAnsi="Times New Roman"/>
          <w:color w:val="000000"/>
          <w:sz w:val="16"/>
        </w:rPr>
        <w:t> </w:t>
      </w:r>
      <w:r>
        <w:rPr>
          <w:rFonts w:ascii="Times New Roman" w:hAnsi="Times New Roman"/>
          <w:color w:val="000000"/>
          <w:sz w:val="16"/>
        </w:rPr>
        <w:tab/>
        <w:t xml:space="preserve">Distinguished by </w:t>
      </w:r>
      <w:hyperlink r:id="rId7">
        <w:r>
          <w:rPr>
            <w:rFonts w:ascii="Times New Roman" w:hAnsi="Times New Roman"/>
            <w:color w:val="0E568C"/>
            <w:sz w:val="16"/>
          </w:rPr>
          <w:t xml:space="preserve">Golden Feather Community Assn. v. </w:t>
        </w:r>
        <w:proofErr w:type="spellStart"/>
        <w:r>
          <w:rPr>
            <w:rFonts w:ascii="Times New Roman" w:hAnsi="Times New Roman"/>
            <w:color w:val="0E568C"/>
            <w:sz w:val="16"/>
          </w:rPr>
          <w:t>Thermalito</w:t>
        </w:r>
        <w:proofErr w:type="spellEnd"/>
        <w:r>
          <w:rPr>
            <w:rFonts w:ascii="Times New Roman" w:hAnsi="Times New Roman"/>
            <w:color w:val="0E568C"/>
            <w:sz w:val="16"/>
          </w:rPr>
          <w:t xml:space="preserve"> Irrigation Dist., </w:t>
        </w:r>
      </w:hyperlink>
      <w:proofErr w:type="spellStart"/>
      <w:r>
        <w:rPr>
          <w:rFonts w:ascii="Times New Roman" w:hAnsi="Times New Roman"/>
          <w:color w:val="000000"/>
          <w:sz w:val="16"/>
        </w:rPr>
        <w:t>Cal.App</w:t>
      </w:r>
      <w:proofErr w:type="spellEnd"/>
      <w:r>
        <w:rPr>
          <w:rFonts w:ascii="Times New Roman" w:hAnsi="Times New Roman"/>
          <w:color w:val="000000"/>
          <w:sz w:val="16"/>
        </w:rPr>
        <w:t>. 3 Dist., April 26, 1989</w:t>
      </w:r>
    </w:p>
    <w:bookmarkEnd w:id="4"/>
    <w:p w14:paraId="3C592A1D" w14:textId="77777777" w:rsidR="00085E50" w:rsidRDefault="00773CFB">
      <w:pPr>
        <w:spacing w:before="180" w:after="0" w:line="275" w:lineRule="atLeast"/>
        <w:jc w:val="center"/>
      </w:pPr>
      <w:r>
        <w:rPr>
          <w:rFonts w:ascii="Georgia" w:hAnsi="Georgia"/>
          <w:color w:val="000000"/>
          <w:sz w:val="20"/>
        </w:rPr>
        <w:t>116 Cal. 397</w:t>
      </w:r>
    </w:p>
    <w:p w14:paraId="43B17F50" w14:textId="77777777" w:rsidR="00085E50" w:rsidRDefault="00773CFB">
      <w:pPr>
        <w:spacing w:after="0" w:line="275" w:lineRule="atLeast"/>
        <w:jc w:val="center"/>
      </w:pPr>
      <w:r>
        <w:rPr>
          <w:rFonts w:ascii="Georgia" w:hAnsi="Georgia"/>
          <w:color w:val="000000"/>
          <w:sz w:val="20"/>
        </w:rPr>
        <w:t>Supreme Court of California.</w:t>
      </w:r>
    </w:p>
    <w:p w14:paraId="0B6E05AB" w14:textId="77777777" w:rsidR="00085E50" w:rsidRDefault="00773CFB">
      <w:pPr>
        <w:spacing w:before="200" w:after="0" w:line="300" w:lineRule="atLeast"/>
        <w:ind w:left="100" w:right="100"/>
        <w:jc w:val="center"/>
      </w:pPr>
      <w:r>
        <w:rPr>
          <w:rFonts w:ascii="Georgia" w:hAnsi="Georgia"/>
          <w:color w:val="252525"/>
          <w:sz w:val="20"/>
        </w:rPr>
        <w:t>PEOPLE</w:t>
      </w:r>
    </w:p>
    <w:p w14:paraId="16DC304A" w14:textId="77777777" w:rsidR="00085E50" w:rsidRDefault="00773CFB">
      <w:pPr>
        <w:spacing w:after="0" w:line="300" w:lineRule="atLeast"/>
        <w:ind w:left="100" w:right="100"/>
        <w:jc w:val="center"/>
      </w:pPr>
      <w:r>
        <w:rPr>
          <w:rFonts w:ascii="Georgia" w:hAnsi="Georgia"/>
          <w:color w:val="252525"/>
          <w:sz w:val="20"/>
        </w:rPr>
        <w:t>v.</w:t>
      </w:r>
    </w:p>
    <w:p w14:paraId="18353F15" w14:textId="77777777" w:rsidR="00085E50" w:rsidRDefault="00773CFB">
      <w:pPr>
        <w:spacing w:after="0" w:line="300" w:lineRule="atLeast"/>
        <w:ind w:left="100" w:right="100"/>
        <w:jc w:val="center"/>
      </w:pPr>
      <w:r>
        <w:rPr>
          <w:rFonts w:ascii="Georgia" w:hAnsi="Georgia"/>
          <w:color w:val="252525"/>
          <w:sz w:val="20"/>
        </w:rPr>
        <w:t>TRUCKEE LUMBER CO.</w:t>
      </w:r>
    </w:p>
    <w:p w14:paraId="4DC1C4F2" w14:textId="77777777" w:rsidR="00085E50" w:rsidRDefault="00773CFB">
      <w:pPr>
        <w:pBdr>
          <w:left w:val="none" w:sz="0" w:space="8" w:color="auto"/>
        </w:pBdr>
        <w:spacing w:before="200" w:after="0" w:line="275" w:lineRule="atLeast"/>
        <w:ind w:left="150"/>
        <w:jc w:val="center"/>
      </w:pPr>
      <w:r>
        <w:rPr>
          <w:rFonts w:ascii="Georgia" w:hAnsi="Georgia"/>
          <w:color w:val="000000"/>
          <w:sz w:val="20"/>
        </w:rPr>
        <w:t>Sac. 209.</w:t>
      </w:r>
    </w:p>
    <w:p w14:paraId="1DAD5A39" w14:textId="77777777" w:rsidR="00085E50" w:rsidRDefault="00773CFB">
      <w:pPr>
        <w:pBdr>
          <w:left w:val="none" w:sz="0" w:space="8" w:color="auto"/>
        </w:pBdr>
        <w:spacing w:after="0" w:line="275" w:lineRule="atLeast"/>
        <w:ind w:left="150"/>
        <w:jc w:val="center"/>
      </w:pPr>
      <w:r>
        <w:rPr>
          <w:rFonts w:ascii="Georgia" w:hAnsi="Georgia"/>
          <w:color w:val="000000"/>
          <w:sz w:val="20"/>
        </w:rPr>
        <w:t>|</w:t>
      </w:r>
    </w:p>
    <w:p w14:paraId="1E6AFC2C" w14:textId="77777777" w:rsidR="00085E50" w:rsidRDefault="00773CFB">
      <w:pPr>
        <w:pBdr>
          <w:left w:val="none" w:sz="0" w:space="8" w:color="auto"/>
        </w:pBdr>
        <w:spacing w:after="0" w:line="275" w:lineRule="atLeast"/>
        <w:ind w:left="150"/>
        <w:jc w:val="center"/>
      </w:pPr>
      <w:r>
        <w:rPr>
          <w:rFonts w:ascii="Georgia" w:hAnsi="Georgia"/>
          <w:color w:val="000000"/>
          <w:sz w:val="20"/>
        </w:rPr>
        <w:t>April 3, 1897.</w:t>
      </w:r>
    </w:p>
    <w:p w14:paraId="0958F80F" w14:textId="77777777" w:rsidR="00085E50" w:rsidRDefault="00773CFB">
      <w:pPr>
        <w:keepNext/>
        <w:keepLines/>
        <w:spacing w:before="600" w:after="0" w:line="275" w:lineRule="atLeast"/>
        <w:jc w:val="both"/>
      </w:pPr>
      <w:bookmarkStart w:id="5" w:name="co_synopsis_1"/>
      <w:r>
        <w:rPr>
          <w:rFonts w:ascii="Times New Roman" w:hAnsi="Times New Roman"/>
          <w:b/>
          <w:color w:val="212121"/>
          <w:sz w:val="20"/>
        </w:rPr>
        <w:t>Synopsis</w:t>
      </w:r>
    </w:p>
    <w:bookmarkEnd w:id="5"/>
    <w:p w14:paraId="35310349" w14:textId="77777777" w:rsidR="00085E50" w:rsidRDefault="00773CFB">
      <w:pPr>
        <w:spacing w:after="0" w:line="275" w:lineRule="atLeast"/>
        <w:jc w:val="both"/>
      </w:pPr>
      <w:r>
        <w:rPr>
          <w:rFonts w:ascii="Times New Roman" w:hAnsi="Times New Roman"/>
          <w:color w:val="000000"/>
          <w:sz w:val="20"/>
        </w:rPr>
        <w:t>Department 1. Appeal from superior court, Nevada county; John Caldwell, Judge.</w:t>
      </w:r>
    </w:p>
    <w:p w14:paraId="3457C4F6" w14:textId="77777777" w:rsidR="00085E50" w:rsidRDefault="00773CFB">
      <w:pPr>
        <w:spacing w:after="0" w:line="275" w:lineRule="atLeast"/>
        <w:jc w:val="both"/>
      </w:pPr>
      <w:r>
        <w:rPr>
          <w:rFonts w:ascii="Times New Roman" w:hAnsi="Times New Roman"/>
          <w:color w:val="000000"/>
          <w:sz w:val="20"/>
        </w:rPr>
        <w:t> </w:t>
      </w:r>
    </w:p>
    <w:p w14:paraId="262BE91C" w14:textId="77777777" w:rsidR="00085E50" w:rsidRDefault="00773CFB">
      <w:pPr>
        <w:spacing w:after="0" w:line="275" w:lineRule="atLeast"/>
        <w:jc w:val="both"/>
      </w:pPr>
      <w:r>
        <w:rPr>
          <w:rFonts w:ascii="Times New Roman" w:hAnsi="Times New Roman"/>
          <w:color w:val="000000"/>
          <w:sz w:val="20"/>
        </w:rPr>
        <w:t>Action by the people of the state of California, on the information of the attorney general, against the Truckee Lumber Company, for an injunction. From an order refusing to v</w:t>
      </w:r>
      <w:r>
        <w:rPr>
          <w:rFonts w:ascii="Times New Roman" w:hAnsi="Times New Roman"/>
          <w:color w:val="000000"/>
          <w:sz w:val="20"/>
        </w:rPr>
        <w:t>acate a preliminary injunction, defendant appeals. Affirmed.</w:t>
      </w:r>
    </w:p>
    <w:p w14:paraId="7D9AA58B" w14:textId="77777777" w:rsidR="00085E50" w:rsidRDefault="00773CFB">
      <w:pPr>
        <w:spacing w:after="0" w:line="275" w:lineRule="atLeast"/>
        <w:jc w:val="both"/>
      </w:pPr>
      <w:r>
        <w:rPr>
          <w:rFonts w:ascii="Times New Roman" w:hAnsi="Times New Roman"/>
          <w:color w:val="000000"/>
          <w:sz w:val="20"/>
        </w:rPr>
        <w:t> </w:t>
      </w:r>
    </w:p>
    <w:p w14:paraId="30CDC58D" w14:textId="77777777" w:rsidR="00085E50" w:rsidRDefault="00773CFB">
      <w:pPr>
        <w:pBdr>
          <w:left w:val="none" w:sz="0" w:space="5" w:color="auto"/>
        </w:pBdr>
        <w:spacing w:before="400" w:after="0" w:line="555" w:lineRule="atLeast"/>
        <w:ind w:left="100" w:right="150"/>
        <w:jc w:val="both"/>
      </w:pPr>
      <w:bookmarkStart w:id="6" w:name="co_headnoteHeader_1"/>
      <w:bookmarkStart w:id="7" w:name="co_headnotes_1"/>
      <w:r>
        <w:rPr>
          <w:rFonts w:ascii="Times New Roman" w:hAnsi="Times New Roman"/>
          <w:color w:val="252525"/>
          <w:sz w:val="20"/>
        </w:rPr>
        <w:t>West Headnotes (3)</w:t>
      </w:r>
    </w:p>
    <w:bookmarkEnd w:id="6"/>
    <w:bookmarkEnd w:id="7"/>
    <w:p w14:paraId="61207608" w14:textId="77777777" w:rsidR="00085E50" w:rsidRDefault="00085E50">
      <w:pPr>
        <w:spacing w:after="0" w:line="240" w:lineRule="auto"/>
        <w:rPr>
          <w:sz w:val="20"/>
        </w:rPr>
      </w:pPr>
    </w:p>
    <w:tbl>
      <w:tblPr>
        <w:tblW w:w="0" w:type="auto"/>
        <w:tblInd w:w="30" w:type="dxa"/>
        <w:tblLayout w:type="fixed"/>
        <w:tblCellMar>
          <w:left w:w="10" w:type="dxa"/>
          <w:right w:w="10" w:type="dxa"/>
        </w:tblCellMar>
        <w:tblLook w:val="04A0" w:firstRow="1" w:lastRow="0" w:firstColumn="1" w:lastColumn="0" w:noHBand="0" w:noVBand="1"/>
      </w:tblPr>
      <w:tblGrid>
        <w:gridCol w:w="600"/>
        <w:gridCol w:w="4035"/>
      </w:tblGrid>
      <w:tr w:rsidR="00085E50" w14:paraId="10C85C4D" w14:textId="77777777">
        <w:tblPrEx>
          <w:tblCellMar>
            <w:top w:w="0" w:type="dxa"/>
            <w:bottom w:w="0" w:type="dxa"/>
          </w:tblCellMar>
        </w:tblPrEx>
        <w:tc>
          <w:tcPr>
            <w:tcW w:w="600" w:type="dxa"/>
            <w:tcMar>
              <w:left w:w="30" w:type="dxa"/>
              <w:right w:w="30" w:type="dxa"/>
            </w:tcMar>
          </w:tcPr>
          <w:p w14:paraId="355CF982" w14:textId="77777777" w:rsidR="00085E50" w:rsidRDefault="00773CFB">
            <w:pPr>
              <w:spacing w:after="0" w:line="275" w:lineRule="atLeast"/>
            </w:pPr>
            <w:bookmarkStart w:id="8" w:name="co_anchor_1897003311_1"/>
            <w:bookmarkStart w:id="9" w:name="co_headnotesTable_1"/>
            <w:bookmarkStart w:id="10" w:name="co_anchor_1897003311501_1"/>
            <w:bookmarkStart w:id="11" w:name="co_expandedHeadnotes_1"/>
            <w:r>
              <w:rPr>
                <w:rFonts w:ascii="Times New Roman" w:hAnsi="Times New Roman"/>
                <w:b/>
                <w:color w:val="000000"/>
                <w:sz w:val="20"/>
              </w:rPr>
              <w:t>[1]</w:t>
            </w:r>
            <w:bookmarkEnd w:id="8"/>
          </w:p>
        </w:tc>
        <w:tc>
          <w:tcPr>
            <w:tcW w:w="4035" w:type="dxa"/>
            <w:tcMar>
              <w:left w:w="30" w:type="dxa"/>
              <w:right w:w="30" w:type="dxa"/>
            </w:tcMar>
          </w:tcPr>
          <w:p w14:paraId="4ADCB995" w14:textId="77777777" w:rsidR="00085E50" w:rsidRDefault="00773CFB">
            <w:pPr>
              <w:pBdr>
                <w:bottom w:val="none" w:sz="0" w:space="2" w:color="auto"/>
              </w:pBdr>
              <w:spacing w:after="0" w:line="275" w:lineRule="atLeast"/>
            </w:pPr>
            <w:hyperlink r:id="rId8">
              <w:r>
                <w:rPr>
                  <w:rFonts w:ascii="Times New Roman" w:hAnsi="Times New Roman"/>
                  <w:b/>
                  <w:color w:val="0E568C"/>
                  <w:sz w:val="20"/>
                </w:rPr>
                <w:t>Fish</w:t>
              </w:r>
            </w:hyperlink>
            <w:r>
              <w:rPr>
                <w:rFonts w:ascii="Times New Roman" w:hAnsi="Times New Roman"/>
                <w:noProof/>
                <w:color w:val="000000"/>
                <w:sz w:val="20"/>
              </w:rPr>
              <w:drawing>
                <wp:inline distT="0" distB="0" distL="0" distR="0" wp14:anchorId="25305335" wp14:editId="49F4D40C">
                  <wp:extent cx="133350" cy="76200"/>
                  <wp:effectExtent l="0" t="0" r="0" b="0"/>
                  <wp:docPr id="3" name="Picture 2" descr="Display Key Number Topics"/>
                  <wp:cNvGraphicFramePr/>
                  <a:graphic xmlns:a="http://schemas.openxmlformats.org/drawingml/2006/main">
                    <a:graphicData uri="http://schemas.openxmlformats.org/drawingml/2006/picture">
                      <pic:pic xmlns:pic="http://schemas.openxmlformats.org/drawingml/2006/picture">
                        <pic:nvPicPr>
                          <pic:cNvPr id="4" name="Picture 2" descr="Display Key Number Topics"/>
                          <pic:cNvPicPr/>
                        </pic:nvPicPr>
                        <pic:blipFill>
                          <a:blip r:embed="rId9"/>
                          <a:srcRect/>
                          <a:stretch>
                            <a:fillRect/>
                          </a:stretch>
                        </pic:blipFill>
                        <pic:spPr>
                          <a:xfrm>
                            <a:off x="0" y="0"/>
                            <a:ext cx="133350" cy="76200"/>
                          </a:xfrm>
                          <a:prstGeom prst="rect">
                            <a:avLst/>
                          </a:prstGeom>
                        </pic:spPr>
                      </pic:pic>
                    </a:graphicData>
                  </a:graphic>
                </wp:inline>
              </w:drawing>
            </w:r>
            <w:hyperlink r:id="rId10">
              <w:r>
                <w:rPr>
                  <w:rFonts w:ascii="Times New Roman" w:hAnsi="Times New Roman"/>
                  <w:color w:val="0E568C"/>
                  <w:sz w:val="20"/>
                </w:rPr>
                <w:t>Injury to or Destruction of Fish</w:t>
              </w:r>
            </w:hyperlink>
          </w:p>
        </w:tc>
      </w:tr>
      <w:bookmarkEnd w:id="9"/>
      <w:bookmarkEnd w:id="10"/>
      <w:bookmarkEnd w:id="11"/>
      <w:tr w:rsidR="00085E50" w14:paraId="40D40354" w14:textId="77777777">
        <w:tblPrEx>
          <w:tblCellMar>
            <w:top w:w="0" w:type="dxa"/>
            <w:bottom w:w="0" w:type="dxa"/>
          </w:tblCellMar>
        </w:tblPrEx>
        <w:tc>
          <w:tcPr>
            <w:tcW w:w="600" w:type="dxa"/>
            <w:tcMar>
              <w:left w:w="30" w:type="dxa"/>
              <w:right w:w="30" w:type="dxa"/>
            </w:tcMar>
          </w:tcPr>
          <w:p w14:paraId="7189C146" w14:textId="77777777" w:rsidR="00085E50" w:rsidRDefault="00085E50">
            <w:pPr>
              <w:spacing w:after="0" w:line="240" w:lineRule="auto"/>
              <w:rPr>
                <w:rFonts w:ascii="Times New Roman" w:hAnsi="Times New Roman"/>
                <w:color w:val="000000"/>
                <w:sz w:val="20"/>
              </w:rPr>
            </w:pPr>
          </w:p>
        </w:tc>
        <w:tc>
          <w:tcPr>
            <w:tcW w:w="4035" w:type="dxa"/>
            <w:tcMar>
              <w:left w:w="30" w:type="dxa"/>
              <w:right w:w="30" w:type="dxa"/>
            </w:tcMar>
          </w:tcPr>
          <w:p w14:paraId="4CC88953" w14:textId="77777777" w:rsidR="00085E50" w:rsidRDefault="00773CFB">
            <w:pPr>
              <w:spacing w:after="0" w:line="275" w:lineRule="atLeast"/>
              <w:jc w:val="both"/>
            </w:pPr>
            <w:r>
              <w:rPr>
                <w:rFonts w:ascii="Times New Roman" w:hAnsi="Times New Roman"/>
                <w:color w:val="000000"/>
                <w:sz w:val="20"/>
              </w:rPr>
              <w:t>In an action to enjoin a nuisance, the complaint alleged that defendant operated a mill on a river which was stocked with fish; that it placed deleterious refuse in such stream, which poisoned the waters, thereby killing the fish; that such acts were a pub</w:t>
            </w:r>
            <w:r>
              <w:rPr>
                <w:rFonts w:ascii="Times New Roman" w:hAnsi="Times New Roman"/>
                <w:color w:val="000000"/>
                <w:sz w:val="20"/>
              </w:rPr>
              <w:t xml:space="preserve">lic nuisance; and that defendant, unless restrained, would continue such wrongful acts. Held, that the complaint stated a cause of action under (West's Ann.) </w:t>
            </w:r>
            <w:proofErr w:type="spellStart"/>
            <w:r>
              <w:rPr>
                <w:rFonts w:ascii="Times New Roman" w:hAnsi="Times New Roman"/>
                <w:color w:val="000000"/>
                <w:sz w:val="20"/>
              </w:rPr>
              <w:t>Civ.Code</w:t>
            </w:r>
            <w:proofErr w:type="spellEnd"/>
            <w:r>
              <w:rPr>
                <w:rFonts w:ascii="Times New Roman" w:hAnsi="Times New Roman"/>
                <w:color w:val="000000"/>
                <w:sz w:val="20"/>
              </w:rPr>
              <w:t xml:space="preserve">, §§ 3479, 3480, declaring an obstruction to the free use of property by a neighborhood a </w:t>
            </w:r>
            <w:r>
              <w:rPr>
                <w:rFonts w:ascii="Times New Roman" w:hAnsi="Times New Roman"/>
                <w:color w:val="000000"/>
                <w:sz w:val="20"/>
              </w:rPr>
              <w:t>public nuisance.</w:t>
            </w:r>
          </w:p>
          <w:bookmarkStart w:id="12" w:name="co_headnoteId_1897003311501200005281945"/>
          <w:p w14:paraId="44490866" w14:textId="77777777" w:rsidR="00085E50" w:rsidRDefault="00773CFB">
            <w:pPr>
              <w:spacing w:before="200" w:after="0" w:line="275" w:lineRule="atLeast"/>
              <w:jc w:val="both"/>
            </w:pPr>
            <w:r>
              <w:fldChar w:fldCharType="begin"/>
            </w:r>
            <w:r>
              <w:instrText xml:space="preserve"> HYPERLINK "http://www.westlaw.com/Link/RelatedInformation/DocHeadnoteLink?docGuid=I2d86d9b0fb0911d98ac8f235252e36df&amp;headnoteId=189700331150120000528194509&amp;originationContext=document&amp;vr=3.0&amp;rs=cblt1.0&amp;transitionType=CitingReferences&amp;con</w:instrText>
            </w:r>
            <w:r>
              <w:instrText xml:space="preserve">textData=(sc.Keycite)" \h </w:instrText>
            </w:r>
            <w:r>
              <w:fldChar w:fldCharType="separate"/>
            </w:r>
            <w:r>
              <w:rPr>
                <w:rFonts w:ascii="Times New Roman" w:hAnsi="Times New Roman"/>
                <w:color w:val="0E568C"/>
                <w:sz w:val="20"/>
              </w:rPr>
              <w:t>46 Cases that cite this headnote</w:t>
            </w:r>
            <w:r>
              <w:rPr>
                <w:rFonts w:ascii="Times New Roman" w:hAnsi="Times New Roman"/>
                <w:color w:val="0E568C"/>
                <w:sz w:val="20"/>
              </w:rPr>
              <w:fldChar w:fldCharType="end"/>
            </w:r>
          </w:p>
        </w:tc>
        <w:bookmarkEnd w:id="12"/>
      </w:tr>
    </w:tbl>
    <w:p w14:paraId="209071ED" w14:textId="77777777" w:rsidR="00085E50" w:rsidRDefault="00085E50">
      <w:pPr>
        <w:spacing w:after="0" w:line="240" w:lineRule="auto"/>
        <w:rPr>
          <w:sz w:val="20"/>
        </w:rPr>
      </w:pPr>
    </w:p>
    <w:tbl>
      <w:tblPr>
        <w:tblW w:w="0" w:type="auto"/>
        <w:tblInd w:w="30" w:type="dxa"/>
        <w:tblLayout w:type="fixed"/>
        <w:tblCellMar>
          <w:left w:w="10" w:type="dxa"/>
          <w:right w:w="10" w:type="dxa"/>
        </w:tblCellMar>
        <w:tblLook w:val="04A0" w:firstRow="1" w:lastRow="0" w:firstColumn="1" w:lastColumn="0" w:noHBand="0" w:noVBand="1"/>
      </w:tblPr>
      <w:tblGrid>
        <w:gridCol w:w="600"/>
        <w:gridCol w:w="4035"/>
      </w:tblGrid>
      <w:tr w:rsidR="00085E50" w14:paraId="077E5E64" w14:textId="77777777">
        <w:tblPrEx>
          <w:tblCellMar>
            <w:top w:w="0" w:type="dxa"/>
            <w:bottom w:w="0" w:type="dxa"/>
          </w:tblCellMar>
        </w:tblPrEx>
        <w:tc>
          <w:tcPr>
            <w:tcW w:w="600" w:type="dxa"/>
            <w:tcMar>
              <w:left w:w="30" w:type="dxa"/>
              <w:right w:w="30" w:type="dxa"/>
            </w:tcMar>
          </w:tcPr>
          <w:p w14:paraId="606F64B7" w14:textId="77777777" w:rsidR="00085E50" w:rsidRDefault="00773CFB">
            <w:pPr>
              <w:spacing w:after="0" w:line="275" w:lineRule="atLeast"/>
            </w:pPr>
            <w:bookmarkStart w:id="13" w:name="co_anchor_1897003311_0_1"/>
            <w:bookmarkStart w:id="14" w:name="co_headnotesTable_0_1"/>
            <w:bookmarkStart w:id="15" w:name="co_anchor_1897003311502_1"/>
            <w:r>
              <w:rPr>
                <w:rFonts w:ascii="Times New Roman" w:hAnsi="Times New Roman"/>
                <w:b/>
                <w:color w:val="000000"/>
                <w:sz w:val="20"/>
              </w:rPr>
              <w:t>[2]</w:t>
            </w:r>
            <w:bookmarkEnd w:id="13"/>
          </w:p>
        </w:tc>
        <w:tc>
          <w:tcPr>
            <w:tcW w:w="4035" w:type="dxa"/>
            <w:tcMar>
              <w:left w:w="30" w:type="dxa"/>
              <w:right w:w="30" w:type="dxa"/>
            </w:tcMar>
          </w:tcPr>
          <w:p w14:paraId="2C77B598" w14:textId="77777777" w:rsidR="00085E50" w:rsidRDefault="00773CFB">
            <w:pPr>
              <w:pBdr>
                <w:bottom w:val="none" w:sz="0" w:space="2" w:color="auto"/>
              </w:pBdr>
              <w:spacing w:after="0" w:line="275" w:lineRule="atLeast"/>
            </w:pPr>
            <w:hyperlink r:id="rId11">
              <w:r>
                <w:rPr>
                  <w:rFonts w:ascii="Times New Roman" w:hAnsi="Times New Roman"/>
                  <w:b/>
                  <w:color w:val="0E568C"/>
                  <w:sz w:val="20"/>
                </w:rPr>
                <w:t>Nuisance</w:t>
              </w:r>
            </w:hyperlink>
            <w:r>
              <w:rPr>
                <w:rFonts w:ascii="Times New Roman" w:hAnsi="Times New Roman"/>
                <w:noProof/>
                <w:color w:val="000000"/>
                <w:sz w:val="20"/>
              </w:rPr>
              <w:drawing>
                <wp:inline distT="0" distB="0" distL="0" distR="0" wp14:anchorId="5077A840" wp14:editId="197E7B90">
                  <wp:extent cx="133350" cy="76200"/>
                  <wp:effectExtent l="0" t="0" r="0" b="0"/>
                  <wp:docPr id="5" name="Picture 2" descr="Display Key Number Topics"/>
                  <wp:cNvGraphicFramePr/>
                  <a:graphic xmlns:a="http://schemas.openxmlformats.org/drawingml/2006/main">
                    <a:graphicData uri="http://schemas.openxmlformats.org/drawingml/2006/picture">
                      <pic:pic xmlns:pic="http://schemas.openxmlformats.org/drawingml/2006/picture">
                        <pic:nvPicPr>
                          <pic:cNvPr id="6" name="Picture 2" descr="Display Key Number Topics"/>
                          <pic:cNvPicPr/>
                        </pic:nvPicPr>
                        <pic:blipFill>
                          <a:blip r:embed="rId9"/>
                          <a:srcRect/>
                          <a:stretch>
                            <a:fillRect/>
                          </a:stretch>
                        </pic:blipFill>
                        <pic:spPr>
                          <a:xfrm>
                            <a:off x="0" y="0"/>
                            <a:ext cx="133350" cy="76200"/>
                          </a:xfrm>
                          <a:prstGeom prst="rect">
                            <a:avLst/>
                          </a:prstGeom>
                        </pic:spPr>
                      </pic:pic>
                    </a:graphicData>
                  </a:graphic>
                </wp:inline>
              </w:drawing>
            </w:r>
            <w:hyperlink r:id="rId12">
              <w:r>
                <w:rPr>
                  <w:rFonts w:ascii="Times New Roman" w:hAnsi="Times New Roman"/>
                  <w:color w:val="0E568C"/>
                  <w:sz w:val="20"/>
                </w:rPr>
                <w:t>Nature of Remedy</w:t>
              </w:r>
            </w:hyperlink>
          </w:p>
        </w:tc>
      </w:tr>
      <w:bookmarkEnd w:id="14"/>
      <w:bookmarkEnd w:id="15"/>
      <w:tr w:rsidR="00085E50" w14:paraId="048D2CDE" w14:textId="77777777">
        <w:tblPrEx>
          <w:tblCellMar>
            <w:top w:w="0" w:type="dxa"/>
            <w:bottom w:w="0" w:type="dxa"/>
          </w:tblCellMar>
        </w:tblPrEx>
        <w:tc>
          <w:tcPr>
            <w:tcW w:w="600" w:type="dxa"/>
            <w:tcMar>
              <w:left w:w="30" w:type="dxa"/>
              <w:right w:w="30" w:type="dxa"/>
            </w:tcMar>
          </w:tcPr>
          <w:p w14:paraId="15F7D176" w14:textId="77777777" w:rsidR="00085E50" w:rsidRDefault="00085E50">
            <w:pPr>
              <w:spacing w:after="0" w:line="240" w:lineRule="auto"/>
              <w:rPr>
                <w:rFonts w:ascii="Times New Roman" w:hAnsi="Times New Roman"/>
                <w:color w:val="000000"/>
                <w:sz w:val="20"/>
              </w:rPr>
            </w:pPr>
          </w:p>
        </w:tc>
        <w:tc>
          <w:tcPr>
            <w:tcW w:w="4035" w:type="dxa"/>
            <w:tcMar>
              <w:left w:w="30" w:type="dxa"/>
              <w:right w:w="30" w:type="dxa"/>
            </w:tcMar>
          </w:tcPr>
          <w:p w14:paraId="5F2B5902" w14:textId="77777777" w:rsidR="00085E50" w:rsidRDefault="00773CFB">
            <w:pPr>
              <w:spacing w:after="0" w:line="275" w:lineRule="atLeast"/>
              <w:jc w:val="both"/>
            </w:pPr>
            <w:r>
              <w:rPr>
                <w:rFonts w:ascii="Times New Roman" w:hAnsi="Times New Roman"/>
                <w:color w:val="000000"/>
                <w:sz w:val="20"/>
              </w:rPr>
              <w:t>The fact that a public nuisance is made punishable as a misdemeanor is not a bar to a suit to enjoin it.</w:t>
            </w:r>
          </w:p>
          <w:bookmarkStart w:id="16" w:name="co_headnoteId_1897003311502200005281945"/>
          <w:p w14:paraId="1D0283F6" w14:textId="77777777" w:rsidR="00085E50" w:rsidRDefault="00773CFB">
            <w:pPr>
              <w:spacing w:before="200" w:after="0" w:line="275" w:lineRule="atLeast"/>
              <w:jc w:val="both"/>
            </w:pPr>
            <w:r>
              <w:fldChar w:fldCharType="begin"/>
            </w:r>
            <w:r>
              <w:instrText xml:space="preserve"> HYPERLINK "http://www.westlaw.com/Link/RelatedInformation/DocHeadnoteLink?docGuid=I2d86d9b0fb0911d98ac8f235252e36df&amp;headnoteI</w:instrText>
            </w:r>
            <w:r>
              <w:instrText xml:space="preserve">d=189700331150220000528194509&amp;originationContext=document&amp;vr=3.0&amp;rs=cblt1.0&amp;transitionType=CitingReferences&amp;contextData=(sc.Keycite)" \h </w:instrText>
            </w:r>
            <w:r>
              <w:fldChar w:fldCharType="separate"/>
            </w:r>
            <w:r>
              <w:rPr>
                <w:rFonts w:ascii="Times New Roman" w:hAnsi="Times New Roman"/>
                <w:color w:val="0E568C"/>
                <w:sz w:val="20"/>
              </w:rPr>
              <w:t>5 Cases that cite this headnote</w:t>
            </w:r>
            <w:r>
              <w:rPr>
                <w:rFonts w:ascii="Times New Roman" w:hAnsi="Times New Roman"/>
                <w:color w:val="0E568C"/>
                <w:sz w:val="20"/>
              </w:rPr>
              <w:fldChar w:fldCharType="end"/>
            </w:r>
          </w:p>
        </w:tc>
        <w:bookmarkEnd w:id="16"/>
      </w:tr>
    </w:tbl>
    <w:p w14:paraId="36FEF27A" w14:textId="77777777" w:rsidR="00085E50" w:rsidRDefault="00085E50">
      <w:pPr>
        <w:spacing w:after="0" w:line="240" w:lineRule="auto"/>
        <w:rPr>
          <w:sz w:val="20"/>
        </w:rPr>
      </w:pPr>
    </w:p>
    <w:tbl>
      <w:tblPr>
        <w:tblW w:w="0" w:type="auto"/>
        <w:tblInd w:w="30" w:type="dxa"/>
        <w:tblLayout w:type="fixed"/>
        <w:tblCellMar>
          <w:left w:w="10" w:type="dxa"/>
          <w:right w:w="10" w:type="dxa"/>
        </w:tblCellMar>
        <w:tblLook w:val="04A0" w:firstRow="1" w:lastRow="0" w:firstColumn="1" w:lastColumn="0" w:noHBand="0" w:noVBand="1"/>
      </w:tblPr>
      <w:tblGrid>
        <w:gridCol w:w="600"/>
        <w:gridCol w:w="4035"/>
      </w:tblGrid>
      <w:tr w:rsidR="00085E50" w14:paraId="05B21BD8" w14:textId="77777777">
        <w:tblPrEx>
          <w:tblCellMar>
            <w:top w:w="0" w:type="dxa"/>
            <w:bottom w:w="0" w:type="dxa"/>
          </w:tblCellMar>
        </w:tblPrEx>
        <w:tc>
          <w:tcPr>
            <w:tcW w:w="600" w:type="dxa"/>
            <w:tcMar>
              <w:left w:w="30" w:type="dxa"/>
              <w:right w:w="30" w:type="dxa"/>
            </w:tcMar>
          </w:tcPr>
          <w:p w14:paraId="6DA90424" w14:textId="77777777" w:rsidR="00085E50" w:rsidRDefault="00773CFB">
            <w:pPr>
              <w:spacing w:after="0" w:line="275" w:lineRule="atLeast"/>
            </w:pPr>
            <w:bookmarkStart w:id="17" w:name="co_anchor_1897003311_1_1"/>
            <w:bookmarkStart w:id="18" w:name="co_headnotesTable_1_1"/>
            <w:bookmarkStart w:id="19" w:name="co_anchor_1897003311503_1"/>
            <w:r>
              <w:rPr>
                <w:rFonts w:ascii="Times New Roman" w:hAnsi="Times New Roman"/>
                <w:b/>
                <w:color w:val="000000"/>
                <w:sz w:val="20"/>
              </w:rPr>
              <w:t>[3]</w:t>
            </w:r>
            <w:bookmarkEnd w:id="17"/>
          </w:p>
        </w:tc>
        <w:tc>
          <w:tcPr>
            <w:tcW w:w="4035" w:type="dxa"/>
            <w:tcMar>
              <w:left w:w="30" w:type="dxa"/>
              <w:right w:w="30" w:type="dxa"/>
            </w:tcMar>
          </w:tcPr>
          <w:p w14:paraId="0810C068" w14:textId="77777777" w:rsidR="00085E50" w:rsidRDefault="00773CFB">
            <w:pPr>
              <w:pBdr>
                <w:bottom w:val="none" w:sz="0" w:space="2" w:color="auto"/>
              </w:pBdr>
              <w:spacing w:after="0" w:line="275" w:lineRule="atLeast"/>
            </w:pPr>
            <w:hyperlink r:id="rId13">
              <w:r>
                <w:rPr>
                  <w:rFonts w:ascii="Times New Roman" w:hAnsi="Times New Roman"/>
                  <w:b/>
                  <w:color w:val="0E568C"/>
                  <w:sz w:val="20"/>
                </w:rPr>
                <w:t>Nuisance</w:t>
              </w:r>
            </w:hyperlink>
            <w:r>
              <w:rPr>
                <w:rFonts w:ascii="Times New Roman" w:hAnsi="Times New Roman"/>
                <w:noProof/>
                <w:color w:val="000000"/>
                <w:sz w:val="20"/>
              </w:rPr>
              <w:drawing>
                <wp:inline distT="0" distB="0" distL="0" distR="0" wp14:anchorId="245714C3" wp14:editId="3BC44153">
                  <wp:extent cx="133350" cy="76200"/>
                  <wp:effectExtent l="0" t="0" r="0" b="0"/>
                  <wp:docPr id="7" name="Picture 2" descr="Display Key Number Topics"/>
                  <wp:cNvGraphicFramePr/>
                  <a:graphic xmlns:a="http://schemas.openxmlformats.org/drawingml/2006/main">
                    <a:graphicData uri="http://schemas.openxmlformats.org/drawingml/2006/picture">
                      <pic:pic xmlns:pic="http://schemas.openxmlformats.org/drawingml/2006/picture">
                        <pic:nvPicPr>
                          <pic:cNvPr id="8" name="Picture 2" descr="Display Key Number Topics"/>
                          <pic:cNvPicPr/>
                        </pic:nvPicPr>
                        <pic:blipFill>
                          <a:blip r:embed="rId9"/>
                          <a:srcRect/>
                          <a:stretch>
                            <a:fillRect/>
                          </a:stretch>
                        </pic:blipFill>
                        <pic:spPr>
                          <a:xfrm>
                            <a:off x="0" y="0"/>
                            <a:ext cx="133350" cy="76200"/>
                          </a:xfrm>
                          <a:prstGeom prst="rect">
                            <a:avLst/>
                          </a:prstGeom>
                        </pic:spPr>
                      </pic:pic>
                    </a:graphicData>
                  </a:graphic>
                </wp:inline>
              </w:drawing>
            </w:r>
            <w:hyperlink r:id="rId14">
              <w:r>
                <w:rPr>
                  <w:rFonts w:ascii="Times New Roman" w:hAnsi="Times New Roman"/>
                  <w:color w:val="0E568C"/>
                  <w:sz w:val="20"/>
                </w:rPr>
                <w:t>Persons by or Against Whom Proceedings May Be Brought</w:t>
              </w:r>
            </w:hyperlink>
          </w:p>
        </w:tc>
      </w:tr>
      <w:bookmarkEnd w:id="18"/>
      <w:bookmarkEnd w:id="19"/>
      <w:tr w:rsidR="00085E50" w14:paraId="4D780F17" w14:textId="77777777">
        <w:tblPrEx>
          <w:tblCellMar>
            <w:top w:w="0" w:type="dxa"/>
            <w:bottom w:w="0" w:type="dxa"/>
          </w:tblCellMar>
        </w:tblPrEx>
        <w:tc>
          <w:tcPr>
            <w:tcW w:w="600" w:type="dxa"/>
            <w:tcMar>
              <w:left w:w="30" w:type="dxa"/>
              <w:right w:w="30" w:type="dxa"/>
            </w:tcMar>
          </w:tcPr>
          <w:p w14:paraId="1CE2DA94" w14:textId="77777777" w:rsidR="00085E50" w:rsidRDefault="00085E50">
            <w:pPr>
              <w:spacing w:after="0" w:line="240" w:lineRule="auto"/>
              <w:rPr>
                <w:rFonts w:ascii="Times New Roman" w:hAnsi="Times New Roman"/>
                <w:color w:val="000000"/>
                <w:sz w:val="20"/>
              </w:rPr>
            </w:pPr>
          </w:p>
        </w:tc>
        <w:tc>
          <w:tcPr>
            <w:tcW w:w="4035" w:type="dxa"/>
            <w:tcMar>
              <w:left w:w="30" w:type="dxa"/>
              <w:right w:w="30" w:type="dxa"/>
            </w:tcMar>
          </w:tcPr>
          <w:p w14:paraId="45E82094" w14:textId="77777777" w:rsidR="00085E50" w:rsidRDefault="00773CFB">
            <w:pPr>
              <w:spacing w:after="0" w:line="275" w:lineRule="atLeast"/>
              <w:jc w:val="both"/>
            </w:pPr>
            <w:r>
              <w:rPr>
                <w:rFonts w:ascii="Times New Roman" w:hAnsi="Times New Roman"/>
                <w:color w:val="000000"/>
                <w:sz w:val="20"/>
              </w:rPr>
              <w:t>The atto</w:t>
            </w:r>
            <w:r>
              <w:rPr>
                <w:rFonts w:ascii="Times New Roman" w:hAnsi="Times New Roman"/>
                <w:color w:val="000000"/>
                <w:sz w:val="20"/>
              </w:rPr>
              <w:t>rney general can maintain, on his own information, a bill to enjoin a public nuisance, without the intervention of a private relator.</w:t>
            </w:r>
          </w:p>
          <w:bookmarkStart w:id="20" w:name="co_headnoteId_1897003311503200005281945"/>
          <w:p w14:paraId="7536AC2C" w14:textId="77777777" w:rsidR="00085E50" w:rsidRDefault="00773CFB">
            <w:pPr>
              <w:spacing w:before="200" w:after="0" w:line="275" w:lineRule="atLeast"/>
              <w:jc w:val="both"/>
            </w:pPr>
            <w:r>
              <w:fldChar w:fldCharType="begin"/>
            </w:r>
            <w:r>
              <w:instrText xml:space="preserve"> HYPERLINK "http://www.westlaw.com/Link/RelatedInformation/DocHeadnoteLink?docGuid=I2d86d9b0fb0911d98ac8f235252e36df&amp;hea</w:instrText>
            </w:r>
            <w:r>
              <w:instrText xml:space="preserve">dnoteId=189700331150320000528194509&amp;originationContext=document&amp;vr=3.0&amp;rs=cblt1.0&amp;transitionType=CitingReferences&amp;contextData=(sc.Keycite)" \h </w:instrText>
            </w:r>
            <w:r>
              <w:fldChar w:fldCharType="separate"/>
            </w:r>
            <w:r>
              <w:rPr>
                <w:rFonts w:ascii="Times New Roman" w:hAnsi="Times New Roman"/>
                <w:color w:val="0E568C"/>
                <w:sz w:val="20"/>
              </w:rPr>
              <w:t>9 Cases that cite this headnote</w:t>
            </w:r>
            <w:r>
              <w:rPr>
                <w:rFonts w:ascii="Times New Roman" w:hAnsi="Times New Roman"/>
                <w:color w:val="0E568C"/>
                <w:sz w:val="20"/>
              </w:rPr>
              <w:fldChar w:fldCharType="end"/>
            </w:r>
          </w:p>
        </w:tc>
        <w:bookmarkEnd w:id="20"/>
      </w:tr>
    </w:tbl>
    <w:p w14:paraId="11E7CFFB" w14:textId="77777777" w:rsidR="00085E50" w:rsidRDefault="00085E50">
      <w:pPr>
        <w:pBdr>
          <w:top w:val="none" w:sz="0" w:space="4" w:color="auto"/>
        </w:pBdr>
        <w:spacing w:before="200" w:after="0" w:line="275" w:lineRule="atLeast"/>
        <w:jc w:val="both"/>
      </w:pPr>
      <w:bookmarkStart w:id="21" w:name="co_headnotesEnd_1"/>
      <w:bookmarkEnd w:id="21"/>
    </w:p>
    <w:p w14:paraId="052295DF" w14:textId="77777777" w:rsidR="00085E50" w:rsidRDefault="00773CFB">
      <w:pPr>
        <w:keepNext/>
        <w:keepLines/>
        <w:spacing w:before="200" w:after="0" w:line="275" w:lineRule="atLeast"/>
        <w:jc w:val="both"/>
      </w:pPr>
      <w:bookmarkStart w:id="22" w:name="co_attorneysAndLawFirms_1"/>
      <w:r>
        <w:rPr>
          <w:rFonts w:ascii="Times New Roman" w:hAnsi="Times New Roman"/>
          <w:b/>
          <w:color w:val="212121"/>
          <w:sz w:val="20"/>
        </w:rPr>
        <w:t>Attorneys and Law Firms</w:t>
      </w:r>
    </w:p>
    <w:p w14:paraId="1ADC3CA5" w14:textId="77777777" w:rsidR="00085E50" w:rsidRDefault="00773CFB">
      <w:pPr>
        <w:spacing w:before="200" w:after="0" w:line="275" w:lineRule="atLeast"/>
        <w:jc w:val="both"/>
      </w:pPr>
      <w:bookmarkStart w:id="23" w:name="co_pp_sp_660_374_1"/>
      <w:bookmarkEnd w:id="22"/>
      <w:r>
        <w:rPr>
          <w:rFonts w:ascii="Times New Roman" w:hAnsi="Times New Roman"/>
          <w:b/>
          <w:color w:val="000000"/>
          <w:sz w:val="20"/>
        </w:rPr>
        <w:t>**374</w:t>
      </w:r>
      <w:bookmarkEnd w:id="23"/>
      <w:r>
        <w:rPr>
          <w:rFonts w:ascii="Times New Roman" w:hAnsi="Times New Roman"/>
          <w:color w:val="000000"/>
          <w:sz w:val="20"/>
        </w:rPr>
        <w:t xml:space="preserve"> </w:t>
      </w:r>
      <w:bookmarkStart w:id="24" w:name="co_pp_sp_220_398_1"/>
      <w:r>
        <w:rPr>
          <w:rFonts w:ascii="Times New Roman" w:hAnsi="Times New Roman"/>
          <w:b/>
          <w:color w:val="000000"/>
          <w:sz w:val="20"/>
        </w:rPr>
        <w:t>*398</w:t>
      </w:r>
      <w:bookmarkEnd w:id="24"/>
      <w:r>
        <w:rPr>
          <w:rFonts w:ascii="Times New Roman" w:hAnsi="Times New Roman"/>
          <w:color w:val="000000"/>
          <w:sz w:val="20"/>
        </w:rPr>
        <w:t xml:space="preserve"> C. F. McGlashan and Thos. S. Ford, for appellant.</w:t>
      </w:r>
    </w:p>
    <w:p w14:paraId="0E0F3500" w14:textId="77777777" w:rsidR="00085E50" w:rsidRDefault="00773CFB">
      <w:pPr>
        <w:spacing w:before="200" w:after="0" w:line="275" w:lineRule="atLeast"/>
        <w:jc w:val="both"/>
      </w:pPr>
      <w:r>
        <w:rPr>
          <w:rFonts w:ascii="Times New Roman" w:hAnsi="Times New Roman"/>
          <w:color w:val="000000"/>
          <w:sz w:val="20"/>
        </w:rPr>
        <w:t>W. F. Fitzgerald, Atty. Gen., and Henry E. Carter, Dep. Atty. Gen., for the People.</w:t>
      </w:r>
    </w:p>
    <w:p w14:paraId="7870F72C" w14:textId="77777777" w:rsidR="00085E50" w:rsidRDefault="00773CFB">
      <w:pPr>
        <w:keepNext/>
        <w:keepLines/>
        <w:spacing w:before="200" w:after="0" w:line="275" w:lineRule="atLeast"/>
        <w:jc w:val="both"/>
      </w:pPr>
      <w:bookmarkStart w:id="25" w:name="co_opinion_1"/>
      <w:r>
        <w:rPr>
          <w:rFonts w:ascii="Times New Roman" w:hAnsi="Times New Roman"/>
          <w:b/>
          <w:color w:val="212121"/>
          <w:sz w:val="20"/>
        </w:rPr>
        <w:t>Opinion</w:t>
      </w:r>
    </w:p>
    <w:p w14:paraId="20C73957" w14:textId="77777777" w:rsidR="00085E50" w:rsidRDefault="00773CFB">
      <w:pPr>
        <w:spacing w:before="200" w:after="0" w:line="275" w:lineRule="atLeast"/>
        <w:jc w:val="both"/>
      </w:pPr>
      <w:bookmarkStart w:id="26" w:name="co_anchor_I730f09c85cdc11e08b05fdf15589"/>
      <w:bookmarkEnd w:id="25"/>
      <w:r>
        <w:rPr>
          <w:rFonts w:ascii="Times New Roman" w:hAnsi="Times New Roman"/>
          <w:color w:val="000000"/>
          <w:sz w:val="20"/>
        </w:rPr>
        <w:t>VAN FLEET, J.</w:t>
      </w:r>
    </w:p>
    <w:p w14:paraId="15EF76E1" w14:textId="77777777" w:rsidR="00085E50" w:rsidRDefault="00773CFB">
      <w:pPr>
        <w:spacing w:before="400" w:after="0" w:line="275" w:lineRule="atLeast"/>
        <w:jc w:val="both"/>
      </w:pPr>
      <w:bookmarkStart w:id="27" w:name="co_anchor_I730f09ca5cdc11e08b05fdf15589"/>
      <w:bookmarkEnd w:id="26"/>
      <w:r>
        <w:rPr>
          <w:rFonts w:ascii="Times New Roman" w:hAnsi="Times New Roman"/>
          <w:color w:val="000000"/>
          <w:sz w:val="20"/>
        </w:rPr>
        <w:t>The action is in the name of the people, on the information of the attorney general, to restrain th</w:t>
      </w:r>
      <w:r>
        <w:rPr>
          <w:rFonts w:ascii="Times New Roman" w:hAnsi="Times New Roman"/>
          <w:color w:val="000000"/>
          <w:sz w:val="20"/>
        </w:rPr>
        <w:t>e commission of an alleged nuisance, the complaint alleging, in substance, that defendant, a corporation, maintains and operates a sawmill and box factory on the bank of the Truckee river, at the town of Truckee, in this state, in which it cuts and manufac</w:t>
      </w:r>
      <w:r>
        <w:rPr>
          <w:rFonts w:ascii="Times New Roman" w:hAnsi="Times New Roman"/>
          <w:color w:val="000000"/>
          <w:sz w:val="20"/>
        </w:rPr>
        <w:t>tures lumber and boxes; that said river is a freshwater stream, having its source in the state of California and flowing into the state of Nevada, and is now, and for a long time prior hereto has been, stocked with fish; that defendant, in operating its mi</w:t>
      </w:r>
      <w:r>
        <w:rPr>
          <w:rFonts w:ascii="Times New Roman" w:hAnsi="Times New Roman"/>
          <w:color w:val="000000"/>
          <w:sz w:val="20"/>
        </w:rPr>
        <w:t xml:space="preserve">ll and factory, has heretofore and does now place and allow to pass into the waters of said river large quantities of refuse matter, consisting of sawdust, shavings, </w:t>
      </w:r>
      <w:bookmarkStart w:id="28" w:name="co_pp_sp_220_399_1"/>
      <w:r>
        <w:rPr>
          <w:rFonts w:ascii="Times New Roman" w:hAnsi="Times New Roman"/>
          <w:b/>
          <w:color w:val="000000"/>
          <w:sz w:val="20"/>
        </w:rPr>
        <w:t>*399</w:t>
      </w:r>
      <w:bookmarkEnd w:id="28"/>
      <w:r>
        <w:rPr>
          <w:rFonts w:ascii="Times New Roman" w:hAnsi="Times New Roman"/>
          <w:color w:val="000000"/>
          <w:sz w:val="20"/>
        </w:rPr>
        <w:t xml:space="preserve"> slabs, edgings, waste, and other deleterious substances, the effect of which has been</w:t>
      </w:r>
      <w:r>
        <w:rPr>
          <w:rFonts w:ascii="Times New Roman" w:hAnsi="Times New Roman"/>
          <w:color w:val="000000"/>
          <w:sz w:val="20"/>
        </w:rPr>
        <w:t xml:space="preserve"> and is to pollute said stream and the waters thereof, and render the same unfit for use, and which substances are poisonous and deleterious to the fish in said stream, and are killing, destroying, and exterminating them, all of which is alleged to be in v</w:t>
      </w:r>
      <w:r>
        <w:rPr>
          <w:rFonts w:ascii="Times New Roman" w:hAnsi="Times New Roman"/>
          <w:color w:val="000000"/>
          <w:sz w:val="20"/>
        </w:rPr>
        <w:t xml:space="preserve">iolation of the rights of </w:t>
      </w:r>
      <w:r>
        <w:rPr>
          <w:rFonts w:ascii="Times New Roman" w:hAnsi="Times New Roman"/>
          <w:color w:val="000000"/>
          <w:sz w:val="20"/>
        </w:rPr>
        <w:lastRenderedPageBreak/>
        <w:t xml:space="preserve">the people, and a public nuisance; that defendant threatens to, and, unless restrained, will, continue to commit said wrongful acts, to plaintiff's irreparable injury. A preliminary injunction was granted ex </w:t>
      </w:r>
      <w:proofErr w:type="spellStart"/>
      <w:r>
        <w:rPr>
          <w:rFonts w:ascii="Times New Roman" w:hAnsi="Times New Roman"/>
          <w:color w:val="000000"/>
          <w:sz w:val="20"/>
        </w:rPr>
        <w:t>parte</w:t>
      </w:r>
      <w:proofErr w:type="spellEnd"/>
      <w:r>
        <w:rPr>
          <w:rFonts w:ascii="Times New Roman" w:hAnsi="Times New Roman"/>
          <w:color w:val="000000"/>
          <w:sz w:val="20"/>
        </w:rPr>
        <w:t xml:space="preserve"> on the filing of</w:t>
      </w:r>
      <w:r>
        <w:rPr>
          <w:rFonts w:ascii="Times New Roman" w:hAnsi="Times New Roman"/>
          <w:color w:val="000000"/>
          <w:sz w:val="20"/>
        </w:rPr>
        <w:t xml:space="preserve"> the complaint, which defendant subsequently moved to vacate. The motion was made upon the complaint alone, based upon the objection that the facts alleged made no case for relief. The motion being denied, this appeal ensued.</w:t>
      </w:r>
    </w:p>
    <w:bookmarkEnd w:id="27"/>
    <w:p w14:paraId="1EB05907" w14:textId="77777777" w:rsidR="00085E50" w:rsidRDefault="00773CFB">
      <w:pPr>
        <w:spacing w:before="200" w:after="0" w:line="275" w:lineRule="atLeast"/>
        <w:jc w:val="both"/>
      </w:pPr>
      <w:r>
        <w:rPr>
          <w:rFonts w:ascii="Times New Roman" w:hAnsi="Times New Roman"/>
          <w:color w:val="000000"/>
          <w:sz w:val="20"/>
        </w:rPr>
        <w:t>The sole question is whether t</w:t>
      </w:r>
      <w:r>
        <w:rPr>
          <w:rFonts w:ascii="Times New Roman" w:hAnsi="Times New Roman"/>
          <w:color w:val="000000"/>
          <w:sz w:val="20"/>
        </w:rPr>
        <w:t>he complaint states a cause of action, and this is to be determined precisely as if the pleading were subjected to a general demurrer.</w:t>
      </w:r>
    </w:p>
    <w:p w14:paraId="6E54195D" w14:textId="77777777" w:rsidR="00085E50" w:rsidRDefault="00773CFB">
      <w:pPr>
        <w:spacing w:before="200" w:after="0" w:line="275" w:lineRule="atLeast"/>
        <w:jc w:val="both"/>
      </w:pPr>
      <w:r>
        <w:rPr>
          <w:rFonts w:ascii="Times New Roman" w:hAnsi="Times New Roman"/>
          <w:color w:val="000000"/>
          <w:sz w:val="20"/>
        </w:rPr>
        <w:t>The first point made against the complaint is that the facts alleged do not constitute a public nuisance, within the defi</w:t>
      </w:r>
      <w:r>
        <w:rPr>
          <w:rFonts w:ascii="Times New Roman" w:hAnsi="Times New Roman"/>
          <w:color w:val="000000"/>
          <w:sz w:val="20"/>
        </w:rPr>
        <w:t>nition of our Code. But this objection would seem to overlook the most material feature of the complaint. It is alleged that the acts of defendant have the effect of polluting and poisoning the waters of the river, and thereby killing and destroying the fi</w:t>
      </w:r>
      <w:r>
        <w:rPr>
          <w:rFonts w:ascii="Times New Roman" w:hAnsi="Times New Roman"/>
          <w:color w:val="000000"/>
          <w:sz w:val="20"/>
        </w:rPr>
        <w:t xml:space="preserve">sh therein. Anything which is ‘an obstruction to the free use of property </w:t>
      </w:r>
      <w:proofErr w:type="gramStart"/>
      <w:r>
        <w:rPr>
          <w:rFonts w:ascii="Times New Roman" w:hAnsi="Times New Roman"/>
          <w:color w:val="000000"/>
          <w:sz w:val="20"/>
        </w:rPr>
        <w:t>so as to</w:t>
      </w:r>
      <w:proofErr w:type="gramEnd"/>
      <w:r>
        <w:rPr>
          <w:rFonts w:ascii="Times New Roman" w:hAnsi="Times New Roman"/>
          <w:color w:val="000000"/>
          <w:sz w:val="20"/>
        </w:rPr>
        <w:t xml:space="preserve"> interfere with the comfortable enjoyment of life or property by an entire community or neighborhood, or any considerable number of persons,’ is a public nuisance. Pen. Code,</w:t>
      </w:r>
      <w:r>
        <w:rPr>
          <w:rFonts w:ascii="Times New Roman" w:hAnsi="Times New Roman"/>
          <w:color w:val="000000"/>
          <w:sz w:val="20"/>
        </w:rPr>
        <w:t xml:space="preserve"> § 370; Civ. Code, §§ 3479, 3480. The fish within our waters constitute the most important constituent of that species of property commonly designated as wild game, the general right and ownership of which is in the people of the state (Ex </w:t>
      </w:r>
      <w:proofErr w:type="spellStart"/>
      <w:r>
        <w:rPr>
          <w:rFonts w:ascii="Times New Roman" w:hAnsi="Times New Roman"/>
          <w:color w:val="000000"/>
          <w:sz w:val="20"/>
        </w:rPr>
        <w:t>parte</w:t>
      </w:r>
      <w:proofErr w:type="spellEnd"/>
      <w:r>
        <w:rPr>
          <w:rFonts w:ascii="Times New Roman" w:hAnsi="Times New Roman"/>
          <w:color w:val="000000"/>
          <w:sz w:val="20"/>
        </w:rPr>
        <w:t xml:space="preserve"> </w:t>
      </w:r>
      <w:hyperlink r:id="rId15">
        <w:r>
          <w:rPr>
            <w:rFonts w:ascii="Times New Roman" w:hAnsi="Times New Roman"/>
            <w:noProof/>
            <w:color w:val="0E568C"/>
            <w:sz w:val="30"/>
          </w:rPr>
          <w:drawing>
            <wp:inline distT="0" distB="0" distL="0" distR="0" wp14:anchorId="730AE7BD" wp14:editId="04692EA8">
              <wp:extent cx="161925" cy="161925"/>
              <wp:effectExtent l="0" t="0" r="0" b="0"/>
              <wp:docPr id="9" name="Picture 3"/>
              <wp:cNvGraphicFramePr/>
              <a:graphic xmlns:a="http://schemas.openxmlformats.org/drawingml/2006/main">
                <a:graphicData uri="http://schemas.openxmlformats.org/drawingml/2006/picture">
                  <pic:pic xmlns:pic="http://schemas.openxmlformats.org/drawingml/2006/picture">
                    <pic:nvPicPr>
                      <pic:cNvPr id="10" name="Picture 3"/>
                      <pic:cNvPicPr/>
                    </pic:nvPicPr>
                    <pic:blipFill>
                      <a:blip r:embed="rId6"/>
                      <a:srcRect/>
                      <a:stretch>
                        <a:fillRect/>
                      </a:stretch>
                    </pic:blipFill>
                    <pic:spPr>
                      <a:xfrm>
                        <a:off x="0" y="0"/>
                        <a:ext cx="161925" cy="161925"/>
                      </a:xfrm>
                      <a:prstGeom prst="rect">
                        <a:avLst/>
                      </a:prstGeom>
                    </pic:spPr>
                  </pic:pic>
                </a:graphicData>
              </a:graphic>
            </wp:inline>
          </w:drawing>
        </w:r>
      </w:hyperlink>
      <w:hyperlink r:id="rId16">
        <w:r>
          <w:rPr>
            <w:rFonts w:ascii="Times New Roman" w:hAnsi="Times New Roman"/>
            <w:color w:val="0E568C"/>
            <w:sz w:val="20"/>
          </w:rPr>
          <w:t>Maier, 103 Cal. 476, 483, 37 Pac. 402),</w:t>
        </w:r>
      </w:hyperlink>
      <w:r>
        <w:rPr>
          <w:rFonts w:ascii="Times New Roman" w:hAnsi="Times New Roman"/>
          <w:color w:val="000000"/>
          <w:sz w:val="20"/>
        </w:rPr>
        <w:t xml:space="preserve"> as in England it was in the king; and the right and power to protect and preserve such property for the common use and benefit is one of </w:t>
      </w:r>
      <w:bookmarkStart w:id="29" w:name="co_pp_sp_220_400_1"/>
      <w:r>
        <w:rPr>
          <w:rFonts w:ascii="Times New Roman" w:hAnsi="Times New Roman"/>
          <w:b/>
          <w:color w:val="000000"/>
          <w:sz w:val="20"/>
        </w:rPr>
        <w:t>*400</w:t>
      </w:r>
      <w:bookmarkEnd w:id="29"/>
      <w:r>
        <w:rPr>
          <w:rFonts w:ascii="Times New Roman" w:hAnsi="Times New Roman"/>
          <w:color w:val="000000"/>
          <w:sz w:val="20"/>
        </w:rPr>
        <w:t xml:space="preserve"> the recognized prerogatives of the sovereign, coming to us from the com</w:t>
      </w:r>
      <w:r>
        <w:rPr>
          <w:rFonts w:ascii="Times New Roman" w:hAnsi="Times New Roman"/>
          <w:color w:val="000000"/>
          <w:sz w:val="20"/>
        </w:rPr>
        <w:t xml:space="preserve">mon law, and preserved and expressly provided for by the statutes of this and every other state of the Union. The complaint shows that, by the repeated and continuing acts of defendant, this public property right is being, and will continue to be, greatly </w:t>
      </w:r>
      <w:r>
        <w:rPr>
          <w:rFonts w:ascii="Times New Roman" w:hAnsi="Times New Roman"/>
          <w:color w:val="000000"/>
          <w:sz w:val="20"/>
        </w:rPr>
        <w:t xml:space="preserve">interfered with and impaired; and that such acts constitute a nuisance, both under our statute and at common law, is not open to serious question. </w:t>
      </w:r>
      <w:hyperlink r:id="rId17">
        <w:r>
          <w:rPr>
            <w:rFonts w:ascii="Times New Roman" w:hAnsi="Times New Roman"/>
            <w:noProof/>
            <w:color w:val="0E568C"/>
            <w:sz w:val="30"/>
          </w:rPr>
          <w:drawing>
            <wp:inline distT="0" distB="0" distL="0" distR="0" wp14:anchorId="522F9336" wp14:editId="062F5098">
              <wp:extent cx="161925" cy="161925"/>
              <wp:effectExtent l="0" t="0" r="0" b="0"/>
              <wp:docPr id="11" name="Picture 3"/>
              <wp:cNvGraphicFramePr/>
              <a:graphic xmlns:a="http://schemas.openxmlformats.org/drawingml/2006/main">
                <a:graphicData uri="http://schemas.openxmlformats.org/drawingml/2006/picture">
                  <pic:pic xmlns:pic="http://schemas.openxmlformats.org/drawingml/2006/picture">
                    <pic:nvPicPr>
                      <pic:cNvPr id="12" name="Picture 3"/>
                      <pic:cNvPicPr/>
                    </pic:nvPicPr>
                    <pic:blipFill>
                      <a:blip r:embed="rId6"/>
                      <a:srcRect/>
                      <a:stretch>
                        <a:fillRect/>
                      </a:stretch>
                    </pic:blipFill>
                    <pic:spPr>
                      <a:xfrm>
                        <a:off x="0" y="0"/>
                        <a:ext cx="161925" cy="161925"/>
                      </a:xfrm>
                      <a:prstGeom prst="rect">
                        <a:avLst/>
                      </a:prstGeom>
                    </pic:spPr>
                  </pic:pic>
                </a:graphicData>
              </a:graphic>
            </wp:inline>
          </w:drawing>
        </w:r>
      </w:hyperlink>
      <w:hyperlink r:id="rId18">
        <w:r>
          <w:rPr>
            <w:rFonts w:ascii="Times New Roman" w:hAnsi="Times New Roman"/>
            <w:color w:val="0E568C"/>
            <w:sz w:val="20"/>
          </w:rPr>
          <w:t>People v. Elk River Mill &amp; Lumber Co., 107 Cal. 219, 40 Pac. 486.</w:t>
        </w:r>
      </w:hyperlink>
      <w:r>
        <w:rPr>
          <w:rFonts w:ascii="Times New Roman" w:hAnsi="Times New Roman"/>
          <w:color w:val="000000"/>
          <w:sz w:val="20"/>
        </w:rPr>
        <w:t xml:space="preserve"> But defendant urges that the f</w:t>
      </w:r>
      <w:r>
        <w:rPr>
          <w:rFonts w:ascii="Times New Roman" w:hAnsi="Times New Roman"/>
          <w:color w:val="000000"/>
          <w:sz w:val="20"/>
        </w:rPr>
        <w:t>acts do not show the infringement of any public right; that the right, if any, shown to be interfered with, is solely that of fishery, or the privilege to take fish; that this is a public right only so far as it pertains to navigable waters, while, as to a</w:t>
      </w:r>
      <w:r>
        <w:rPr>
          <w:rFonts w:ascii="Times New Roman" w:hAnsi="Times New Roman"/>
          <w:color w:val="000000"/>
          <w:sz w:val="20"/>
        </w:rPr>
        <w:t xml:space="preserve">ll other waters, it is exclusively </w:t>
      </w:r>
      <w:bookmarkStart w:id="30" w:name="co_pp_sp_660_375_1"/>
      <w:r>
        <w:rPr>
          <w:rFonts w:ascii="Times New Roman" w:hAnsi="Times New Roman"/>
          <w:b/>
          <w:color w:val="000000"/>
          <w:sz w:val="20"/>
        </w:rPr>
        <w:t>**375</w:t>
      </w:r>
      <w:bookmarkEnd w:id="30"/>
      <w:r>
        <w:rPr>
          <w:rFonts w:ascii="Times New Roman" w:hAnsi="Times New Roman"/>
          <w:color w:val="000000"/>
          <w:sz w:val="20"/>
        </w:rPr>
        <w:t xml:space="preserve"> in the riparian proprietor; that, as the Truckee river is not a navigable stream, the destruction of the </w:t>
      </w:r>
      <w:r>
        <w:rPr>
          <w:rFonts w:ascii="Times New Roman" w:hAnsi="Times New Roman"/>
          <w:color w:val="000000"/>
          <w:sz w:val="20"/>
        </w:rPr>
        <w:t xml:space="preserve">fish therein is not an injury to the public for which the people can complain, there being no allegation that </w:t>
      </w:r>
      <w:r>
        <w:rPr>
          <w:rFonts w:ascii="Times New Roman" w:hAnsi="Times New Roman"/>
          <w:color w:val="000000"/>
          <w:sz w:val="20"/>
        </w:rPr>
        <w:t xml:space="preserve">the riparian proprietors thereon have been injured. In the first place, the common right to take fish extends not alone to navigable waters, but exists as to all waters the lands underlying which are not in private ownership,—in other words, to all lakes, </w:t>
      </w:r>
      <w:r>
        <w:rPr>
          <w:rFonts w:ascii="Times New Roman" w:hAnsi="Times New Roman"/>
          <w:color w:val="000000"/>
          <w:sz w:val="20"/>
        </w:rPr>
        <w:t>ponds, or streams, navigable or otherwise, upon the public lands of this state or the United States not protected by reservation; and, since there is no averment that the lands along the Truckee river are held in private proprietorship, we think the presum</w:t>
      </w:r>
      <w:r>
        <w:rPr>
          <w:rFonts w:ascii="Times New Roman" w:hAnsi="Times New Roman"/>
          <w:color w:val="000000"/>
          <w:sz w:val="20"/>
        </w:rPr>
        <w:t>ption must be that the title remains in the government. But, in the next place, if this is not the presumption the case would not be different. The dominion of the state, for the purposes of protecting its sovereign rights in the fish within its waters, an</w:t>
      </w:r>
      <w:r>
        <w:rPr>
          <w:rFonts w:ascii="Times New Roman" w:hAnsi="Times New Roman"/>
          <w:color w:val="000000"/>
          <w:sz w:val="20"/>
        </w:rPr>
        <w:t xml:space="preserve">d their preservation for the common enjoyment of its citizens, is not confined within the narrow limits suggested by defendant's argument. It is not restricted to their protection only </w:t>
      </w:r>
      <w:bookmarkStart w:id="31" w:name="co_pp_sp_220_401_1"/>
      <w:r>
        <w:rPr>
          <w:rFonts w:ascii="Times New Roman" w:hAnsi="Times New Roman"/>
          <w:b/>
          <w:color w:val="000000"/>
          <w:sz w:val="20"/>
        </w:rPr>
        <w:t>*401</w:t>
      </w:r>
      <w:bookmarkEnd w:id="31"/>
      <w:r>
        <w:rPr>
          <w:rFonts w:ascii="Times New Roman" w:hAnsi="Times New Roman"/>
          <w:color w:val="000000"/>
          <w:sz w:val="20"/>
        </w:rPr>
        <w:t xml:space="preserve"> when found within what may in strictness be held to be navigable o</w:t>
      </w:r>
      <w:r>
        <w:rPr>
          <w:rFonts w:ascii="Times New Roman" w:hAnsi="Times New Roman"/>
          <w:color w:val="000000"/>
          <w:sz w:val="20"/>
        </w:rPr>
        <w:t>r otherwise public waters. It extends to all waters within the state, public or private, wherein these animals are habited or accustomed to resort for spawning or other purposes, and through which they have freedom of passage to and from the public fishing</w:t>
      </w:r>
      <w:r>
        <w:rPr>
          <w:rFonts w:ascii="Times New Roman" w:hAnsi="Times New Roman"/>
          <w:color w:val="000000"/>
          <w:sz w:val="20"/>
        </w:rPr>
        <w:t xml:space="preserve"> grounds of the state. To the extent that waters are the common passageway for fish, although flowing over lands entirely subject to private ownership, they are deemed for such </w:t>
      </w:r>
      <w:proofErr w:type="gramStart"/>
      <w:r>
        <w:rPr>
          <w:rFonts w:ascii="Times New Roman" w:hAnsi="Times New Roman"/>
          <w:color w:val="000000"/>
          <w:sz w:val="20"/>
        </w:rPr>
        <w:t>purposes</w:t>
      </w:r>
      <w:proofErr w:type="gramEnd"/>
      <w:r>
        <w:rPr>
          <w:rFonts w:ascii="Times New Roman" w:hAnsi="Times New Roman"/>
          <w:color w:val="000000"/>
          <w:sz w:val="20"/>
        </w:rPr>
        <w:t xml:space="preserve"> public waters, and subject to all laws of the state regulating the rig</w:t>
      </w:r>
      <w:r>
        <w:rPr>
          <w:rFonts w:ascii="Times New Roman" w:hAnsi="Times New Roman"/>
          <w:color w:val="000000"/>
          <w:sz w:val="20"/>
        </w:rPr>
        <w:t xml:space="preserve">ht of fishery. </w:t>
      </w:r>
      <w:proofErr w:type="spellStart"/>
      <w:r>
        <w:rPr>
          <w:rFonts w:ascii="Times New Roman" w:hAnsi="Times New Roman"/>
          <w:color w:val="000000"/>
          <w:sz w:val="20"/>
        </w:rPr>
        <w:t>Cottrill</w:t>
      </w:r>
      <w:proofErr w:type="spellEnd"/>
      <w:r>
        <w:rPr>
          <w:rFonts w:ascii="Times New Roman" w:hAnsi="Times New Roman"/>
          <w:color w:val="000000"/>
          <w:sz w:val="20"/>
        </w:rPr>
        <w:t xml:space="preserve"> v. Myrick, 12 Me. 222; </w:t>
      </w:r>
      <w:hyperlink r:id="rId19">
        <w:r>
          <w:rPr>
            <w:rFonts w:ascii="Times New Roman" w:hAnsi="Times New Roman"/>
            <w:color w:val="0E568C"/>
            <w:sz w:val="20"/>
          </w:rPr>
          <w:t>State v. Franklin Falls Co., 49 N. H. 240;</w:t>
        </w:r>
      </w:hyperlink>
      <w:r>
        <w:rPr>
          <w:rFonts w:ascii="Times New Roman" w:hAnsi="Times New Roman"/>
          <w:color w:val="000000"/>
          <w:sz w:val="20"/>
        </w:rPr>
        <w:t xml:space="preserve"> </w:t>
      </w:r>
      <w:hyperlink r:id="rId20" w:anchor="co_pp_sp_579_484">
        <w:r>
          <w:rPr>
            <w:rFonts w:ascii="Times New Roman" w:hAnsi="Times New Roman"/>
            <w:color w:val="0E568C"/>
            <w:sz w:val="20"/>
          </w:rPr>
          <w:t>State v. Roberts, 59 N. H. 256, 484</w:t>
        </w:r>
      </w:hyperlink>
      <w:r>
        <w:rPr>
          <w:rFonts w:ascii="Times New Roman" w:hAnsi="Times New Roman"/>
          <w:color w:val="000000"/>
          <w:sz w:val="20"/>
        </w:rPr>
        <w:t>.</w:t>
      </w:r>
    </w:p>
    <w:p w14:paraId="2B5DEAFD" w14:textId="77777777" w:rsidR="00085E50" w:rsidRDefault="00773CFB">
      <w:pPr>
        <w:spacing w:before="200" w:after="0" w:line="275" w:lineRule="atLeast"/>
        <w:jc w:val="both"/>
      </w:pPr>
      <w:r>
        <w:rPr>
          <w:rFonts w:ascii="Times New Roman" w:hAnsi="Times New Roman"/>
          <w:color w:val="000000"/>
          <w:sz w:val="20"/>
        </w:rPr>
        <w:t xml:space="preserve">For the purposes of the right involved in this action, then, the </w:t>
      </w:r>
      <w:proofErr w:type="gramStart"/>
      <w:r>
        <w:rPr>
          <w:rFonts w:ascii="Times New Roman" w:hAnsi="Times New Roman"/>
          <w:color w:val="000000"/>
          <w:sz w:val="20"/>
        </w:rPr>
        <w:t>Trucke</w:t>
      </w:r>
      <w:r>
        <w:rPr>
          <w:rFonts w:ascii="Times New Roman" w:hAnsi="Times New Roman"/>
          <w:color w:val="000000"/>
          <w:sz w:val="20"/>
        </w:rPr>
        <w:t>e river</w:t>
      </w:r>
      <w:proofErr w:type="gramEnd"/>
      <w:r>
        <w:rPr>
          <w:rFonts w:ascii="Times New Roman" w:hAnsi="Times New Roman"/>
          <w:color w:val="000000"/>
          <w:sz w:val="20"/>
        </w:rPr>
        <w:t xml:space="preserve">, so far as it flows within this state, is a part of the waters to which the jurisdiction of the state in the protection of its fish supply extends. This court will take judicial cognizance of the fact that the river has its source in Lake Tahoe, a </w:t>
      </w:r>
      <w:r>
        <w:rPr>
          <w:rFonts w:ascii="Times New Roman" w:hAnsi="Times New Roman"/>
          <w:color w:val="000000"/>
          <w:sz w:val="20"/>
        </w:rPr>
        <w:t>large navigable body of water lying partly in this state, and that it flows thence into the state of Nevada, and empties into Pyramid lake, also navigable; and the court may also take notice of a fact so common and notorious that between these two bodies o</w:t>
      </w:r>
      <w:r>
        <w:rPr>
          <w:rFonts w:ascii="Times New Roman" w:hAnsi="Times New Roman"/>
          <w:color w:val="000000"/>
          <w:sz w:val="20"/>
        </w:rPr>
        <w:t>f water the river affords, and has from time immemorial, a natural and free highway for the passage of the fish inhabiting these lakes. Even, therefore, if, as contended by defendant, the lands through which the stream flows are to be presumed, in the abse</w:t>
      </w:r>
      <w:r>
        <w:rPr>
          <w:rFonts w:ascii="Times New Roman" w:hAnsi="Times New Roman"/>
          <w:color w:val="000000"/>
          <w:sz w:val="20"/>
        </w:rPr>
        <w:t xml:space="preserve">nce of contrary averment, to be owned in private proprietorship, it can make no difference as to the right here asserted. While the right of </w:t>
      </w:r>
      <w:r>
        <w:rPr>
          <w:rFonts w:ascii="Times New Roman" w:hAnsi="Times New Roman"/>
          <w:color w:val="000000"/>
          <w:sz w:val="20"/>
        </w:rPr>
        <w:lastRenderedPageBreak/>
        <w:t xml:space="preserve">fishery upon his own land is exclusively in the riparian proprietor, this does not imply or carry the right to </w:t>
      </w:r>
      <w:proofErr w:type="spellStart"/>
      <w:r>
        <w:rPr>
          <w:rFonts w:ascii="Times New Roman" w:hAnsi="Times New Roman"/>
          <w:color w:val="000000"/>
          <w:sz w:val="20"/>
        </w:rPr>
        <w:t>dest</w:t>
      </w:r>
      <w:r>
        <w:rPr>
          <w:rFonts w:ascii="Times New Roman" w:hAnsi="Times New Roman"/>
          <w:color w:val="000000"/>
          <w:sz w:val="20"/>
        </w:rPr>
        <w:t>ory</w:t>
      </w:r>
      <w:proofErr w:type="spellEnd"/>
      <w:r>
        <w:rPr>
          <w:rFonts w:ascii="Times New Roman" w:hAnsi="Times New Roman"/>
          <w:color w:val="000000"/>
          <w:sz w:val="20"/>
        </w:rPr>
        <w:t xml:space="preserve"> what he does not take. He does not own the fish in the stream. His right of property attaches only to those he reduces to actual possession, and he cannot lawfully kill or obstruct the free passage of those not taken. ‘This right in the owner of the la</w:t>
      </w:r>
      <w:r>
        <w:rPr>
          <w:rFonts w:ascii="Times New Roman" w:hAnsi="Times New Roman"/>
          <w:color w:val="000000"/>
          <w:sz w:val="20"/>
        </w:rPr>
        <w:t xml:space="preserve">nd must be </w:t>
      </w:r>
      <w:bookmarkStart w:id="32" w:name="co_pp_sp_220_402_1"/>
      <w:r>
        <w:rPr>
          <w:rFonts w:ascii="Times New Roman" w:hAnsi="Times New Roman"/>
          <w:b/>
          <w:color w:val="000000"/>
          <w:sz w:val="20"/>
        </w:rPr>
        <w:t>*402</w:t>
      </w:r>
      <w:bookmarkEnd w:id="32"/>
      <w:r>
        <w:rPr>
          <w:rFonts w:ascii="Times New Roman" w:hAnsi="Times New Roman"/>
          <w:color w:val="000000"/>
          <w:sz w:val="20"/>
        </w:rPr>
        <w:t xml:space="preserve"> regarded as qualified to a certain extent by the universal principle that all property is held subject to those general regulations which are necessary to the common good and general welfare, and to that extent it is subject to legislative </w:t>
      </w:r>
      <w:r>
        <w:rPr>
          <w:rFonts w:ascii="Times New Roman" w:hAnsi="Times New Roman"/>
          <w:color w:val="000000"/>
          <w:sz w:val="20"/>
        </w:rPr>
        <w:t>control. It is a well-established principle that every person shall so use and enjoy his own property, however absolute and unqualified his title, that his use of it shall not be injurious to the equal enjoyment of others having an equal right to the enjoy</w:t>
      </w:r>
      <w:r>
        <w:rPr>
          <w:rFonts w:ascii="Times New Roman" w:hAnsi="Times New Roman"/>
          <w:color w:val="000000"/>
          <w:sz w:val="20"/>
        </w:rPr>
        <w:t>ment of their property, nor injurious to the rights of the public. Hence, while the riparian owner has the exclusive right of fishery upon his own land, he must so exercise that right as not to injure others in the enjoyment of a similar right upon their l</w:t>
      </w:r>
      <w:r>
        <w:rPr>
          <w:rFonts w:ascii="Times New Roman" w:hAnsi="Times New Roman"/>
          <w:color w:val="000000"/>
          <w:sz w:val="20"/>
        </w:rPr>
        <w:t xml:space="preserve">ands upon the stream above and below.’ </w:t>
      </w:r>
      <w:hyperlink r:id="rId21">
        <w:r>
          <w:rPr>
            <w:rFonts w:ascii="Times New Roman" w:hAnsi="Times New Roman"/>
            <w:color w:val="0E568C"/>
            <w:sz w:val="20"/>
          </w:rPr>
          <w:t>State v. Roberts, 59 N. H. 256.</w:t>
        </w:r>
      </w:hyperlink>
      <w:r>
        <w:rPr>
          <w:rFonts w:ascii="Times New Roman" w:hAnsi="Times New Roman"/>
          <w:color w:val="000000"/>
          <w:sz w:val="20"/>
        </w:rPr>
        <w:t xml:space="preserve"> The mere fact, therefore, that the interference or obstruction complained of </w:t>
      </w:r>
      <w:proofErr w:type="gramStart"/>
      <w:r>
        <w:rPr>
          <w:rFonts w:ascii="Times New Roman" w:hAnsi="Times New Roman"/>
          <w:color w:val="000000"/>
          <w:sz w:val="20"/>
        </w:rPr>
        <w:t>may</w:t>
      </w:r>
      <w:proofErr w:type="gramEnd"/>
      <w:r>
        <w:rPr>
          <w:rFonts w:ascii="Times New Roman" w:hAnsi="Times New Roman"/>
          <w:color w:val="000000"/>
          <w:sz w:val="20"/>
        </w:rPr>
        <w:t xml:space="preserve"> in fact be in a stream where the right of fishery is exclusively in private riparian owners, doe</w:t>
      </w:r>
      <w:r>
        <w:rPr>
          <w:rFonts w:ascii="Times New Roman" w:hAnsi="Times New Roman"/>
          <w:color w:val="000000"/>
          <w:sz w:val="20"/>
        </w:rPr>
        <w:t>s not make the acts here complained of any less an invasion of the public right, nor prevent the state from protecting its general interest in the property.</w:t>
      </w:r>
    </w:p>
    <w:p w14:paraId="4D0CBC75" w14:textId="77777777" w:rsidR="00085E50" w:rsidRDefault="00773CFB">
      <w:pPr>
        <w:spacing w:before="200" w:after="0" w:line="275" w:lineRule="atLeast"/>
        <w:jc w:val="both"/>
      </w:pPr>
      <w:r>
        <w:rPr>
          <w:rFonts w:ascii="Times New Roman" w:hAnsi="Times New Roman"/>
          <w:color w:val="000000"/>
          <w:sz w:val="20"/>
        </w:rPr>
        <w:t>The fact that acts of the character alleged are by the Penal Code made a misdemeanor, and punishabl</w:t>
      </w:r>
      <w:r>
        <w:rPr>
          <w:rFonts w:ascii="Times New Roman" w:hAnsi="Times New Roman"/>
          <w:color w:val="000000"/>
          <w:sz w:val="20"/>
        </w:rPr>
        <w:t>e as such, does not make them less a nuisance, nor imply that the legislature intended to make the criminal remedy exclusive of the civil. Nor is there anything in the objection that the attorney general is not privileged to maintain the action upon his ow</w:t>
      </w:r>
      <w:r>
        <w:rPr>
          <w:rFonts w:ascii="Times New Roman" w:hAnsi="Times New Roman"/>
          <w:color w:val="000000"/>
          <w:sz w:val="20"/>
        </w:rPr>
        <w:t xml:space="preserve">n information, without the intervention of a private relator. </w:t>
      </w:r>
      <w:hyperlink r:id="rId22">
        <w:r>
          <w:rPr>
            <w:rFonts w:ascii="Times New Roman" w:hAnsi="Times New Roman"/>
            <w:noProof/>
            <w:color w:val="0E568C"/>
            <w:sz w:val="30"/>
          </w:rPr>
          <w:drawing>
            <wp:inline distT="0" distB="0" distL="0" distR="0" wp14:anchorId="60337FC1" wp14:editId="32B8F338">
              <wp:extent cx="161925" cy="161925"/>
              <wp:effectExtent l="0" t="0" r="0" b="0"/>
              <wp:docPr id="13" name="Picture 3"/>
              <wp:cNvGraphicFramePr/>
              <a:graphic xmlns:a="http://schemas.openxmlformats.org/drawingml/2006/main">
                <a:graphicData uri="http://schemas.openxmlformats.org/drawingml/2006/picture">
                  <pic:pic xmlns:pic="http://schemas.openxmlformats.org/drawingml/2006/picture">
                    <pic:nvPicPr>
                      <pic:cNvPr id="14" name="Picture 3"/>
                      <pic:cNvPicPr/>
                    </pic:nvPicPr>
                    <pic:blipFill>
                      <a:blip r:embed="rId6"/>
                      <a:srcRect/>
                      <a:stretch>
                        <a:fillRect/>
                      </a:stretch>
                    </pic:blipFill>
                    <pic:spPr>
                      <a:xfrm>
                        <a:off x="0" y="0"/>
                        <a:ext cx="161925" cy="161925"/>
                      </a:xfrm>
                      <a:prstGeom prst="rect">
                        <a:avLst/>
                      </a:prstGeom>
                    </pic:spPr>
                  </pic:pic>
                </a:graphicData>
              </a:graphic>
            </wp:inline>
          </w:drawing>
        </w:r>
      </w:hyperlink>
      <w:hyperlink r:id="rId23">
        <w:r>
          <w:rPr>
            <w:rFonts w:ascii="Times New Roman" w:hAnsi="Times New Roman"/>
            <w:color w:val="0E568C"/>
            <w:sz w:val="20"/>
          </w:rPr>
          <w:t>People v. Davidson, 30 Cal. 388;</w:t>
        </w:r>
      </w:hyperlink>
      <w:r>
        <w:rPr>
          <w:rFonts w:ascii="Times New Roman" w:hAnsi="Times New Roman"/>
          <w:color w:val="000000"/>
          <w:sz w:val="20"/>
        </w:rPr>
        <w:t xml:space="preserve"> </w:t>
      </w:r>
      <w:hyperlink r:id="rId24">
        <w:r>
          <w:rPr>
            <w:rFonts w:ascii="Times New Roman" w:hAnsi="Times New Roman"/>
            <w:color w:val="0E568C"/>
            <w:sz w:val="20"/>
          </w:rPr>
          <w:t>People v. Stratton, 25 Cal. 242;</w:t>
        </w:r>
      </w:hyperlink>
      <w:r>
        <w:rPr>
          <w:rFonts w:ascii="Times New Roman" w:hAnsi="Times New Roman"/>
          <w:color w:val="000000"/>
          <w:sz w:val="20"/>
        </w:rPr>
        <w:t xml:space="preserve"> </w:t>
      </w:r>
      <w:hyperlink r:id="rId25">
        <w:r>
          <w:rPr>
            <w:rFonts w:ascii="Times New Roman" w:hAnsi="Times New Roman"/>
            <w:noProof/>
            <w:color w:val="0E568C"/>
            <w:sz w:val="30"/>
          </w:rPr>
          <w:drawing>
            <wp:inline distT="0" distB="0" distL="0" distR="0" wp14:anchorId="7C577897" wp14:editId="42BA4379">
              <wp:extent cx="161925" cy="161925"/>
              <wp:effectExtent l="0" t="0" r="0" b="0"/>
              <wp:docPr id="15" name="Picture 3"/>
              <wp:cNvGraphicFramePr/>
              <a:graphic xmlns:a="http://schemas.openxmlformats.org/drawingml/2006/main">
                <a:graphicData uri="http://schemas.openxmlformats.org/drawingml/2006/picture">
                  <pic:pic xmlns:pic="http://schemas.openxmlformats.org/drawingml/2006/picture">
                    <pic:nvPicPr>
                      <pic:cNvPr id="16" name="Picture 3"/>
                      <pic:cNvPicPr/>
                    </pic:nvPicPr>
                    <pic:blipFill>
                      <a:blip r:embed="rId6"/>
                      <a:srcRect/>
                      <a:stretch>
                        <a:fillRect/>
                      </a:stretch>
                    </pic:blipFill>
                    <pic:spPr>
                      <a:xfrm>
                        <a:off x="0" y="0"/>
                        <a:ext cx="161925" cy="161925"/>
                      </a:xfrm>
                      <a:prstGeom prst="rect">
                        <a:avLst/>
                      </a:prstGeom>
                    </pic:spPr>
                  </pic:pic>
                </a:graphicData>
              </a:graphic>
            </wp:inline>
          </w:drawing>
        </w:r>
      </w:hyperlink>
      <w:hyperlink r:id="rId26">
        <w:r>
          <w:rPr>
            <w:rFonts w:ascii="Times New Roman" w:hAnsi="Times New Roman"/>
            <w:color w:val="0E568C"/>
            <w:sz w:val="20"/>
          </w:rPr>
          <w:t>People v. Gold Run Ditch &amp; Mining Co., 66 Cal. 138, 4 Pac. 1152</w:t>
        </w:r>
      </w:hyperlink>
      <w:r>
        <w:rPr>
          <w:rFonts w:ascii="Times New Roman" w:hAnsi="Times New Roman"/>
          <w:color w:val="000000"/>
          <w:sz w:val="20"/>
        </w:rPr>
        <w:t>.</w:t>
      </w:r>
    </w:p>
    <w:p w14:paraId="7CA6B874" w14:textId="77777777" w:rsidR="00085E50" w:rsidRDefault="00773CFB">
      <w:pPr>
        <w:spacing w:before="200" w:after="0" w:line="275" w:lineRule="atLeast"/>
        <w:jc w:val="both"/>
      </w:pPr>
      <w:r>
        <w:rPr>
          <w:rFonts w:ascii="Times New Roman" w:hAnsi="Times New Roman"/>
          <w:color w:val="000000"/>
          <w:sz w:val="20"/>
        </w:rPr>
        <w:t xml:space="preserve">The other objections made do not call for </w:t>
      </w:r>
      <w:proofErr w:type="gramStart"/>
      <w:r>
        <w:rPr>
          <w:rFonts w:ascii="Times New Roman" w:hAnsi="Times New Roman"/>
          <w:color w:val="000000"/>
          <w:sz w:val="20"/>
        </w:rPr>
        <w:t>particular notice</w:t>
      </w:r>
      <w:proofErr w:type="gramEnd"/>
      <w:r>
        <w:rPr>
          <w:rFonts w:ascii="Times New Roman" w:hAnsi="Times New Roman"/>
          <w:color w:val="000000"/>
          <w:sz w:val="20"/>
        </w:rPr>
        <w:t>. Order affirmed.</w:t>
      </w:r>
    </w:p>
    <w:p w14:paraId="22FF462F" w14:textId="77777777" w:rsidR="00085E50" w:rsidRDefault="00773CFB">
      <w:pPr>
        <w:spacing w:before="600" w:after="0" w:line="275" w:lineRule="atLeast"/>
        <w:jc w:val="both"/>
      </w:pPr>
      <w:r>
        <w:rPr>
          <w:rFonts w:ascii="Times New Roman" w:hAnsi="Times New Roman"/>
          <w:color w:val="000000"/>
          <w:sz w:val="20"/>
        </w:rPr>
        <w:t>We concur: BEATTY, C. J.; HARRISON, J.</w:t>
      </w:r>
    </w:p>
    <w:p w14:paraId="36343F48" w14:textId="77777777" w:rsidR="00085E50" w:rsidRDefault="00773CFB">
      <w:pPr>
        <w:keepNext/>
        <w:keepLines/>
        <w:spacing w:before="400" w:after="0" w:line="275" w:lineRule="atLeast"/>
        <w:jc w:val="both"/>
      </w:pPr>
      <w:bookmarkStart w:id="33" w:name="co_allCitations_1"/>
      <w:r>
        <w:rPr>
          <w:rFonts w:ascii="Times New Roman" w:hAnsi="Times New Roman"/>
          <w:b/>
          <w:color w:val="212121"/>
          <w:sz w:val="20"/>
        </w:rPr>
        <w:t>All Citations</w:t>
      </w:r>
    </w:p>
    <w:bookmarkEnd w:id="33"/>
    <w:p w14:paraId="0D6C8E91" w14:textId="77777777" w:rsidR="00085E50" w:rsidRDefault="00773CFB">
      <w:pPr>
        <w:spacing w:before="200" w:after="0" w:line="275" w:lineRule="atLeast"/>
        <w:jc w:val="both"/>
      </w:pPr>
      <w:r>
        <w:rPr>
          <w:rFonts w:ascii="Times New Roman" w:hAnsi="Times New Roman"/>
          <w:color w:val="000000"/>
          <w:sz w:val="20"/>
        </w:rPr>
        <w:t xml:space="preserve">116 Cal. </w:t>
      </w:r>
      <w:r>
        <w:rPr>
          <w:rFonts w:ascii="Times New Roman" w:hAnsi="Times New Roman"/>
          <w:color w:val="000000"/>
          <w:sz w:val="20"/>
        </w:rPr>
        <w:t>397, 48 P. 374</w:t>
      </w:r>
    </w:p>
    <w:p w14:paraId="18A60940" w14:textId="77777777" w:rsidR="00085E50" w:rsidRDefault="00085E50">
      <w:pPr>
        <w:sectPr w:rsidR="00085E50">
          <w:headerReference w:type="even" r:id="rId27"/>
          <w:headerReference w:type="default" r:id="rId28"/>
          <w:footerReference w:type="even" r:id="rId29"/>
          <w:footerReference w:type="default" r:id="rId30"/>
          <w:pgSz w:w="12240" w:h="15840"/>
          <w:pgMar w:top="1080" w:right="1080" w:bottom="1080" w:left="1080" w:header="720" w:footer="720" w:gutter="0"/>
          <w:pgNumType w:start="1"/>
          <w:cols w:num="2" w:space="240"/>
        </w:sectPr>
      </w:pPr>
    </w:p>
    <w:p w14:paraId="34BD950C" w14:textId="77777777" w:rsidR="00085E50" w:rsidRDefault="00085E50">
      <w:pPr>
        <w:spacing w:after="0" w:line="240" w:lineRule="auto"/>
        <w:rPr>
          <w:sz w:val="24"/>
        </w:rPr>
      </w:pPr>
    </w:p>
    <w:tbl>
      <w:tblPr>
        <w:tblW w:w="0" w:type="auto"/>
        <w:tblInd w:w="24" w:type="dxa"/>
        <w:tblLayout w:type="fixed"/>
        <w:tblCellMar>
          <w:left w:w="10" w:type="dxa"/>
          <w:right w:w="10" w:type="dxa"/>
        </w:tblCellMar>
        <w:tblLook w:val="04A0" w:firstRow="1" w:lastRow="0" w:firstColumn="1" w:lastColumn="0" w:noHBand="0" w:noVBand="1"/>
      </w:tblPr>
      <w:tblGrid>
        <w:gridCol w:w="4305"/>
        <w:gridCol w:w="5745"/>
      </w:tblGrid>
      <w:tr w:rsidR="00085E50" w14:paraId="0EA298A2" w14:textId="77777777">
        <w:tblPrEx>
          <w:tblCellMar>
            <w:top w:w="0" w:type="dxa"/>
            <w:bottom w:w="0" w:type="dxa"/>
          </w:tblCellMar>
        </w:tblPrEx>
        <w:tc>
          <w:tcPr>
            <w:tcW w:w="4305" w:type="dxa"/>
            <w:tcBorders>
              <w:top w:val="single" w:sz="4" w:space="0" w:color="777777"/>
            </w:tcBorders>
            <w:tcMar>
              <w:top w:w="75" w:type="dxa"/>
              <w:left w:w="24" w:type="dxa"/>
              <w:right w:w="24" w:type="dxa"/>
            </w:tcMar>
          </w:tcPr>
          <w:p w14:paraId="680BBB0F" w14:textId="77777777" w:rsidR="00085E50" w:rsidRDefault="00773CFB">
            <w:pPr>
              <w:spacing w:after="0" w:line="235" w:lineRule="atLeast"/>
            </w:pPr>
            <w:r>
              <w:rPr>
                <w:rFonts w:ascii="Times New Roman" w:hAnsi="Times New Roman"/>
                <w:b/>
                <w:color w:val="777777"/>
                <w:sz w:val="16"/>
              </w:rPr>
              <w:t>End of Document</w:t>
            </w:r>
          </w:p>
        </w:tc>
        <w:tc>
          <w:tcPr>
            <w:tcW w:w="5745" w:type="dxa"/>
            <w:tcBorders>
              <w:top w:val="single" w:sz="4" w:space="0" w:color="777777"/>
            </w:tcBorders>
            <w:tcMar>
              <w:top w:w="75" w:type="dxa"/>
              <w:left w:w="24" w:type="dxa"/>
              <w:right w:w="24" w:type="dxa"/>
            </w:tcMar>
          </w:tcPr>
          <w:p w14:paraId="25141627" w14:textId="77777777" w:rsidR="00085E50" w:rsidRDefault="00773CFB">
            <w:pPr>
              <w:spacing w:after="0" w:line="235" w:lineRule="atLeast"/>
              <w:jc w:val="right"/>
            </w:pPr>
            <w:r>
              <w:rPr>
                <w:rFonts w:ascii="Times New Roman" w:hAnsi="Times New Roman"/>
                <w:color w:val="777777"/>
                <w:sz w:val="16"/>
              </w:rPr>
              <w:t xml:space="preserve">© 2022 Thomson Reuters. No claim to original U.S. Government </w:t>
            </w:r>
            <w:r>
              <w:rPr>
                <w:rFonts w:ascii="Times New Roman" w:hAnsi="Times New Roman"/>
                <w:color w:val="777777"/>
                <w:sz w:val="16"/>
              </w:rPr>
              <w:t>Works.</w:t>
            </w:r>
          </w:p>
        </w:tc>
      </w:tr>
    </w:tbl>
    <w:p w14:paraId="0EC636C0" w14:textId="77777777" w:rsidR="00773CFB" w:rsidRDefault="00773CFB"/>
    <w:sectPr w:rsidR="00773CFB">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E1967" w14:textId="77777777" w:rsidR="00773CFB" w:rsidRDefault="00773CFB">
      <w:pPr>
        <w:spacing w:after="0" w:line="240" w:lineRule="auto"/>
      </w:pPr>
      <w:r>
        <w:separator/>
      </w:r>
    </w:p>
  </w:endnote>
  <w:endnote w:type="continuationSeparator" w:id="0">
    <w:p w14:paraId="57C6F5A0" w14:textId="77777777" w:rsidR="00773CFB" w:rsidRDefault="00773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Layout w:type="fixed"/>
      <w:tblCellMar>
        <w:left w:w="10" w:type="dxa"/>
        <w:right w:w="10" w:type="dxa"/>
      </w:tblCellMar>
      <w:tblLook w:val="04A0" w:firstRow="1" w:lastRow="0" w:firstColumn="1" w:lastColumn="0" w:noHBand="0" w:noVBand="1"/>
    </w:tblPr>
    <w:tblGrid>
      <w:gridCol w:w="9270"/>
      <w:gridCol w:w="690"/>
    </w:tblGrid>
    <w:tr w:rsidR="00085E50" w14:paraId="1290F1BD" w14:textId="77777777">
      <w:tblPrEx>
        <w:tblCellMar>
          <w:top w:w="0" w:type="dxa"/>
          <w:bottom w:w="0" w:type="dxa"/>
        </w:tblCellMar>
      </w:tblPrEx>
      <w:tc>
        <w:tcPr>
          <w:tcW w:w="9270" w:type="dxa"/>
          <w:tcBorders>
            <w:top w:val="single" w:sz="6" w:space="0" w:color="AAAAAA"/>
          </w:tcBorders>
          <w:tcMar>
            <w:top w:w="60" w:type="dxa"/>
          </w:tcMar>
          <w:vAlign w:val="bottom"/>
        </w:tcPr>
        <w:p w14:paraId="34797625" w14:textId="77777777" w:rsidR="00085E50" w:rsidRDefault="00773CFB">
          <w:pPr>
            <w:spacing w:after="0" w:line="240" w:lineRule="auto"/>
          </w:pPr>
          <w:r>
            <w:rPr>
              <w:rFonts w:ascii="Arial" w:hAnsi="Arial"/>
              <w:noProof/>
              <w:color w:val="AAAAAA"/>
              <w:sz w:val="20"/>
            </w:rPr>
            <w:drawing>
              <wp:inline distT="0" distB="0" distL="0" distR="0" wp14:anchorId="6703B4EA" wp14:editId="1440596A">
                <wp:extent cx="742950" cy="95250"/>
                <wp:effectExtent l="0" t="0" r="0" b="0"/>
                <wp:docPr id="2" name="Picture 0" descr="Westlaw Logo"/>
                <wp:cNvGraphicFramePr/>
                <a:graphic xmlns:a="http://schemas.openxmlformats.org/drawingml/2006/main">
                  <a:graphicData uri="http://schemas.openxmlformats.org/drawingml/2006/picture">
                    <pic:pic xmlns:pic="http://schemas.openxmlformats.org/drawingml/2006/picture">
                      <pic:nvPicPr>
                        <pic:cNvPr id="18" name="Picture 0" descr="Westlaw Logo"/>
                        <pic:cNvPicPr/>
                      </pic:nvPicPr>
                      <pic:blipFill>
                        <a:blip r:embed="rId1"/>
                        <a:srcRect/>
                        <a:stretch>
                          <a:fillRect/>
                        </a:stretch>
                      </pic:blipFill>
                      <pic:spPr>
                        <a:xfrm>
                          <a:off x="0" y="0"/>
                          <a:ext cx="742950" cy="95250"/>
                        </a:xfrm>
                        <a:prstGeom prst="rect">
                          <a:avLst/>
                        </a:prstGeom>
                      </pic:spPr>
                    </pic:pic>
                  </a:graphicData>
                </a:graphic>
              </wp:inline>
            </w:drawing>
          </w:r>
          <w:r>
            <w:rPr>
              <w:rFonts w:ascii="Arial" w:hAnsi="Arial"/>
              <w:color w:val="AAAAAA"/>
              <w:sz w:val="20"/>
            </w:rPr>
            <w:t xml:space="preserve"> © 2022 Thomson Reuters. No claim to original U.S. Government Works.</w:t>
          </w:r>
        </w:p>
      </w:tc>
      <w:tc>
        <w:tcPr>
          <w:tcW w:w="690" w:type="dxa"/>
          <w:tcBorders>
            <w:top w:val="single" w:sz="6" w:space="0" w:color="AAAAAA"/>
          </w:tcBorders>
          <w:tcMar>
            <w:top w:w="60" w:type="dxa"/>
          </w:tcMar>
        </w:tcPr>
        <w:p w14:paraId="32B63160" w14:textId="77777777" w:rsidR="00085E50" w:rsidRDefault="00773CFB">
          <w:pPr>
            <w:spacing w:after="0" w:line="240" w:lineRule="auto"/>
            <w:jc w:val="right"/>
          </w:pPr>
          <w:r>
            <w:rPr>
              <w:rFonts w:ascii="Arial" w:hAnsi="Arial"/>
              <w:color w:val="AAAAAA"/>
              <w:sz w:val="20"/>
            </w:rPr>
            <w:pgNum/>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Layout w:type="fixed"/>
      <w:tblCellMar>
        <w:left w:w="10" w:type="dxa"/>
        <w:right w:w="10" w:type="dxa"/>
      </w:tblCellMar>
      <w:tblLook w:val="04A0" w:firstRow="1" w:lastRow="0" w:firstColumn="1" w:lastColumn="0" w:noHBand="0" w:noVBand="1"/>
    </w:tblPr>
    <w:tblGrid>
      <w:gridCol w:w="9270"/>
      <w:gridCol w:w="690"/>
    </w:tblGrid>
    <w:tr w:rsidR="00085E50" w14:paraId="14F8A806" w14:textId="77777777">
      <w:tblPrEx>
        <w:tblCellMar>
          <w:top w:w="0" w:type="dxa"/>
          <w:bottom w:w="0" w:type="dxa"/>
        </w:tblCellMar>
      </w:tblPrEx>
      <w:tc>
        <w:tcPr>
          <w:tcW w:w="9270" w:type="dxa"/>
          <w:tcBorders>
            <w:top w:val="single" w:sz="6" w:space="0" w:color="AAAAAA"/>
          </w:tcBorders>
          <w:tcMar>
            <w:top w:w="60" w:type="dxa"/>
          </w:tcMar>
          <w:vAlign w:val="bottom"/>
        </w:tcPr>
        <w:p w14:paraId="7865EB8B" w14:textId="77777777" w:rsidR="00085E50" w:rsidRDefault="00773CFB">
          <w:pPr>
            <w:spacing w:after="0" w:line="240" w:lineRule="auto"/>
          </w:pPr>
          <w:r>
            <w:rPr>
              <w:rFonts w:ascii="Arial" w:hAnsi="Arial"/>
              <w:noProof/>
              <w:color w:val="AAAAAA"/>
              <w:sz w:val="20"/>
            </w:rPr>
            <w:drawing>
              <wp:inline distT="0" distB="0" distL="0" distR="0" wp14:anchorId="03B2FA46" wp14:editId="0437FCD7">
                <wp:extent cx="742950" cy="95250"/>
                <wp:effectExtent l="0" t="0" r="0" b="0"/>
                <wp:docPr id="17" name="Picture 0" descr="Westlaw Logo"/>
                <wp:cNvGraphicFramePr/>
                <a:graphic xmlns:a="http://schemas.openxmlformats.org/drawingml/2006/main">
                  <a:graphicData uri="http://schemas.openxmlformats.org/drawingml/2006/picture">
                    <pic:pic xmlns:pic="http://schemas.openxmlformats.org/drawingml/2006/picture">
                      <pic:nvPicPr>
                        <pic:cNvPr id="18" name="Picture 0" descr="Westlaw Logo"/>
                        <pic:cNvPicPr/>
                      </pic:nvPicPr>
                      <pic:blipFill>
                        <a:blip r:embed="rId1"/>
                        <a:srcRect/>
                        <a:stretch>
                          <a:fillRect/>
                        </a:stretch>
                      </pic:blipFill>
                      <pic:spPr>
                        <a:xfrm>
                          <a:off x="0" y="0"/>
                          <a:ext cx="742950" cy="95250"/>
                        </a:xfrm>
                        <a:prstGeom prst="rect">
                          <a:avLst/>
                        </a:prstGeom>
                      </pic:spPr>
                    </pic:pic>
                  </a:graphicData>
                </a:graphic>
              </wp:inline>
            </w:drawing>
          </w:r>
          <w:r>
            <w:rPr>
              <w:rFonts w:ascii="Arial" w:hAnsi="Arial"/>
              <w:color w:val="AAAAAA"/>
              <w:sz w:val="20"/>
            </w:rPr>
            <w:t xml:space="preserve"> © 2022 Thomson Reuters. No claim to original U.S. Government Works.</w:t>
          </w:r>
        </w:p>
      </w:tc>
      <w:tc>
        <w:tcPr>
          <w:tcW w:w="690" w:type="dxa"/>
          <w:tcBorders>
            <w:top w:val="single" w:sz="6" w:space="0" w:color="AAAAAA"/>
          </w:tcBorders>
          <w:tcMar>
            <w:top w:w="60" w:type="dxa"/>
          </w:tcMar>
        </w:tcPr>
        <w:p w14:paraId="790A2349" w14:textId="77777777" w:rsidR="00085E50" w:rsidRDefault="00773CFB">
          <w:pPr>
            <w:spacing w:after="0" w:line="240" w:lineRule="auto"/>
            <w:jc w:val="right"/>
          </w:pPr>
          <w:r>
            <w:rPr>
              <w:rFonts w:ascii="Arial" w:hAnsi="Arial"/>
              <w:color w:val="AAAAAA"/>
              <w:sz w:val="20"/>
            </w:rPr>
            <w:pgNum/>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DCD74" w14:textId="77777777" w:rsidR="00773CFB" w:rsidRDefault="00773CFB">
      <w:pPr>
        <w:spacing w:after="0" w:line="240" w:lineRule="auto"/>
      </w:pPr>
      <w:r>
        <w:separator/>
      </w:r>
    </w:p>
  </w:footnote>
  <w:footnote w:type="continuationSeparator" w:id="0">
    <w:p w14:paraId="56D0FC2F" w14:textId="77777777" w:rsidR="00773CFB" w:rsidRDefault="00773C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085E50" w14:paraId="05EADDA2" w14:textId="77777777">
      <w:tblPrEx>
        <w:tblCellMar>
          <w:top w:w="0" w:type="dxa"/>
          <w:bottom w:w="0" w:type="dxa"/>
        </w:tblCellMar>
      </w:tblPrEx>
      <w:tc>
        <w:tcPr>
          <w:tcW w:w="9360" w:type="dxa"/>
          <w:tcBorders>
            <w:bottom w:val="single" w:sz="6" w:space="0" w:color="AAAAAA"/>
          </w:tcBorders>
          <w:tcMar>
            <w:top w:w="390" w:type="dxa"/>
            <w:bottom w:w="60" w:type="dxa"/>
          </w:tcMar>
          <w:vAlign w:val="bottom"/>
        </w:tcPr>
        <w:p w14:paraId="46FABC03" w14:textId="77777777" w:rsidR="00085E50" w:rsidRDefault="00773CFB">
          <w:pPr>
            <w:spacing w:after="0" w:line="240" w:lineRule="auto"/>
          </w:pPr>
          <w:r>
            <w:rPr>
              <w:rFonts w:ascii="Arial" w:hAnsi="Arial"/>
              <w:b/>
              <w:color w:val="555555"/>
              <w:sz w:val="18"/>
            </w:rPr>
            <w:t>People v. Truckee Lumber Co., 116 Cal. 397 (1897)</w:t>
          </w:r>
        </w:p>
      </w:tc>
      <w:tc>
        <w:tcPr>
          <w:tcW w:w="705" w:type="dxa"/>
          <w:tcBorders>
            <w:bottom w:val="single" w:sz="6" w:space="0" w:color="AAAAAA"/>
          </w:tcBorders>
          <w:tcMar>
            <w:top w:w="390" w:type="dxa"/>
            <w:bottom w:w="60" w:type="dxa"/>
          </w:tcMar>
        </w:tcPr>
        <w:p w14:paraId="1C0BA5F8" w14:textId="77777777" w:rsidR="00085E50" w:rsidRDefault="00085E50">
          <w:pPr>
            <w:spacing w:after="0" w:line="240" w:lineRule="auto"/>
            <w:rPr>
              <w:rFonts w:ascii="Arial" w:hAnsi="Arial"/>
              <w:color w:val="000000"/>
              <w:sz w:val="18"/>
            </w:rPr>
          </w:pPr>
        </w:p>
      </w:tc>
    </w:tr>
    <w:tr w:rsidR="00152210" w14:paraId="16664D36" w14:textId="77777777" w:rsidTr="00152210">
      <w:tblPrEx>
        <w:tblCellMar>
          <w:top w:w="0" w:type="dxa"/>
          <w:bottom w:w="0" w:type="dxa"/>
        </w:tblCellMar>
      </w:tblPrEx>
      <w:tc>
        <w:tcPr>
          <w:tcW w:w="10065" w:type="dxa"/>
          <w:gridSpan w:val="2"/>
        </w:tcPr>
        <w:p w14:paraId="1E454EB8" w14:textId="77777777" w:rsidR="00085E50" w:rsidRDefault="00773CFB">
          <w:pPr>
            <w:spacing w:after="0" w:line="240" w:lineRule="auto"/>
          </w:pPr>
          <w:r>
            <w:rPr>
              <w:rFonts w:ascii="Arial" w:hAnsi="Arial"/>
              <w:color w:val="000000"/>
              <w:sz w:val="18"/>
            </w:rPr>
            <w:t>48 P. 374</w:t>
          </w:r>
        </w:p>
      </w:tc>
    </w:tr>
  </w:tbl>
  <w:p w14:paraId="6DACCB0F" w14:textId="77777777" w:rsidR="00085E50" w:rsidRDefault="00773CFB">
    <w:pPr>
      <w:spacing w:after="0" w:line="240" w:lineRule="auto"/>
    </w:pPr>
    <w:r>
      <w:rPr>
        <w:rFonts w:ascii="Arial" w:hAnsi="Arial"/>
        <w:color w:val="000000"/>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085E50" w14:paraId="52FAB57F" w14:textId="77777777">
      <w:tblPrEx>
        <w:tblCellMar>
          <w:top w:w="0" w:type="dxa"/>
          <w:bottom w:w="0" w:type="dxa"/>
        </w:tblCellMar>
      </w:tblPrEx>
      <w:tc>
        <w:tcPr>
          <w:tcW w:w="9360" w:type="dxa"/>
          <w:tcBorders>
            <w:bottom w:val="single" w:sz="6" w:space="0" w:color="AAAAAA"/>
          </w:tcBorders>
          <w:tcMar>
            <w:top w:w="390" w:type="dxa"/>
            <w:bottom w:w="60" w:type="dxa"/>
          </w:tcMar>
          <w:vAlign w:val="bottom"/>
        </w:tcPr>
        <w:p w14:paraId="54BCB3A0" w14:textId="77777777" w:rsidR="00085E50" w:rsidRDefault="00773CFB">
          <w:pPr>
            <w:spacing w:after="0" w:line="240" w:lineRule="auto"/>
          </w:pPr>
          <w:r>
            <w:rPr>
              <w:rFonts w:ascii="Arial" w:hAnsi="Arial"/>
              <w:b/>
              <w:color w:val="555555"/>
              <w:sz w:val="18"/>
            </w:rPr>
            <w:t>People v. Truckee Lumber Co., 116 Cal. 397 (1897)</w:t>
          </w:r>
        </w:p>
      </w:tc>
      <w:tc>
        <w:tcPr>
          <w:tcW w:w="705" w:type="dxa"/>
          <w:tcBorders>
            <w:bottom w:val="single" w:sz="6" w:space="0" w:color="AAAAAA"/>
          </w:tcBorders>
          <w:tcMar>
            <w:top w:w="390" w:type="dxa"/>
            <w:bottom w:w="60" w:type="dxa"/>
          </w:tcMar>
        </w:tcPr>
        <w:p w14:paraId="6643D2CB" w14:textId="77777777" w:rsidR="00085E50" w:rsidRDefault="00085E50">
          <w:pPr>
            <w:spacing w:after="0" w:line="240" w:lineRule="auto"/>
            <w:rPr>
              <w:rFonts w:ascii="Arial" w:hAnsi="Arial"/>
              <w:color w:val="000000"/>
              <w:sz w:val="18"/>
            </w:rPr>
          </w:pPr>
        </w:p>
      </w:tc>
    </w:tr>
    <w:tr w:rsidR="00152210" w14:paraId="1AB7C035" w14:textId="77777777" w:rsidTr="00152210">
      <w:tblPrEx>
        <w:tblCellMar>
          <w:top w:w="0" w:type="dxa"/>
          <w:bottom w:w="0" w:type="dxa"/>
        </w:tblCellMar>
      </w:tblPrEx>
      <w:tc>
        <w:tcPr>
          <w:tcW w:w="10065" w:type="dxa"/>
          <w:gridSpan w:val="2"/>
        </w:tcPr>
        <w:p w14:paraId="7711BDB9" w14:textId="77777777" w:rsidR="00085E50" w:rsidRDefault="00773CFB">
          <w:pPr>
            <w:spacing w:after="0" w:line="240" w:lineRule="auto"/>
          </w:pPr>
          <w:r>
            <w:rPr>
              <w:rFonts w:ascii="Arial" w:hAnsi="Arial"/>
              <w:color w:val="000000"/>
              <w:sz w:val="18"/>
            </w:rPr>
            <w:t>48 P. 374</w:t>
          </w:r>
        </w:p>
      </w:tc>
    </w:tr>
  </w:tbl>
  <w:p w14:paraId="165572D2" w14:textId="77777777" w:rsidR="00085E50" w:rsidRDefault="00773CFB">
    <w:pPr>
      <w:spacing w:after="0" w:line="240" w:lineRule="auto"/>
    </w:pPr>
    <w:r>
      <w:rPr>
        <w:rFonts w:ascii="Arial" w:hAnsi="Arial"/>
        <w:color w:val="000000"/>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50"/>
    <w:rsid w:val="00085E50"/>
    <w:rsid w:val="00152210"/>
    <w:rsid w:val="0077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49BE3"/>
  <w15:docId w15:val="{4DB99BDB-9B1A-4879-8221-A6762066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westlaw.com/Browse/Home/KeyNumber/176/View.html?docGuid=I2d86d9b0fb0911d98ac8f235252e36df&amp;originationContext=document&amp;vr=3.0&amp;rs=cblt1.0&amp;transitionType=DocumentItem&amp;contextData=(sc.Keycite)" TargetMode="External"/><Relationship Id="rId13" Type="http://schemas.openxmlformats.org/officeDocument/2006/relationships/hyperlink" Target="http://www.westlaw.com/Browse/Home/KeyNumber/279/View.html?docGuid=I2d86d9b0fb0911d98ac8f235252e36df&amp;originationContext=document&amp;vr=3.0&amp;rs=cblt1.0&amp;transitionType=DocumentItem&amp;contextData=(sc.Keycite)" TargetMode="External"/><Relationship Id="rId18" Type="http://schemas.openxmlformats.org/officeDocument/2006/relationships/hyperlink" Target="http://www.westlaw.com/Link/Document/FullText?findType=Y&amp;serNum=1895003366&amp;pubNum=660&amp;originatingDoc=I2d86d9b0fb0911d98ac8f235252e36df&amp;refType=RP&amp;originationContext=document&amp;vr=3.0&amp;rs=cblt1.0&amp;transitionType=DocumentItem&amp;contextData=(sc.Keycite)" TargetMode="External"/><Relationship Id="rId26" Type="http://schemas.openxmlformats.org/officeDocument/2006/relationships/hyperlink" Target="http://www.westlaw.com/Link/Document/FullText?findType=Y&amp;serNum=1884004834&amp;pubNum=660&amp;originatingDoc=I2d86d9b0fb0911d98ac8f235252e36df&amp;refType=RP&amp;originationContext=document&amp;vr=3.0&amp;rs=cblt1.0&amp;transitionType=DocumentItem&amp;contextData=(sc.Keycite)" TargetMode="External"/><Relationship Id="rId3" Type="http://schemas.openxmlformats.org/officeDocument/2006/relationships/webSettings" Target="webSettings.xml"/><Relationship Id="rId21" Type="http://schemas.openxmlformats.org/officeDocument/2006/relationships/hyperlink" Target="http://www.westlaw.com/Link/Document/FullText?findType=Y&amp;serNum=1879009233&amp;pubNum=579&amp;originatingDoc=I2d86d9b0fb0911d98ac8f235252e36df&amp;refType=RP&amp;originationContext=document&amp;vr=3.0&amp;rs=cblt1.0&amp;transitionType=DocumentItem&amp;contextData=(sc.Keycite)" TargetMode="External"/><Relationship Id="rId7" Type="http://schemas.openxmlformats.org/officeDocument/2006/relationships/hyperlink" Target="https://www.westlaw.com/Document/I53baa097fab311d9bf60c1d57ebc853e/View/FullText.html?navigationPath=RelatedInfo%2Fv4%2Fkeycite%2Fnav%2F%3Fguid%3DI53baa097fab311d9bf60c1d57ebc853e%26ss%3D1897003311%26ds%3D1989063714%26origDocGuid%3DI2d86d9b0fb0911d98ac8f235252e36df&amp;listSource=RelatedInfo&amp;list=NegativeCitingReferences&amp;rank=0&amp;ppcid=615d8167246b45b5a80aa81fb89ebc61&amp;originationContext=docHeader&amp;transitionType=NegativeTreatment&amp;contextData=%28sc.Keycite%29&amp;VR=3.0&amp;RS=cblt1.0" TargetMode="External"/><Relationship Id="rId12" Type="http://schemas.openxmlformats.org/officeDocument/2006/relationships/hyperlink" Target="http://www.westlaw.com/Browse/Home/KeyNumber/279k77/View.html?docGuid=I2d86d9b0fb0911d98ac8f235252e36df&amp;originationContext=document&amp;vr=3.0&amp;rs=cblt1.0&amp;transitionType=DocumentItem&amp;contextData=(sc.Keycite)" TargetMode="External"/><Relationship Id="rId17" Type="http://schemas.openxmlformats.org/officeDocument/2006/relationships/hyperlink" Target="https://1.next.westlaw.com/Link/RelatedInformation/Flag?documentGuid=I06cc6f60faeb11d9b386b232635db992&amp;transitionType=InlineKeyCiteFlags&amp;originationContext=docHeaderFlag&amp;Rank=0&amp;ppcid=615d8167246b45b5a80aa81fb89ebc61&amp;contextData=(sc.Keycite)" TargetMode="External"/><Relationship Id="rId25" Type="http://schemas.openxmlformats.org/officeDocument/2006/relationships/hyperlink" Target="https://1.next.westlaw.com/Link/RelatedInformation/Flag?documentGuid=Ie53235effae811d9b386b232635db992&amp;transitionType=InlineKeyCiteFlags&amp;originationContext=docHeaderFlag&amp;Rank=0&amp;ppcid=615d8167246b45b5a80aa81fb89ebc61&amp;contextData=(sc.Keycite)" TargetMode="External"/><Relationship Id="rId2" Type="http://schemas.openxmlformats.org/officeDocument/2006/relationships/settings" Target="settings.xml"/><Relationship Id="rId16" Type="http://schemas.openxmlformats.org/officeDocument/2006/relationships/hyperlink" Target="http://www.westlaw.com/Link/Document/FullText?findType=Y&amp;serNum=1894002835&amp;pubNum=660&amp;originatingDoc=I2d86d9b0fb0911d98ac8f235252e36df&amp;refType=RP&amp;originationContext=document&amp;vr=3.0&amp;rs=cblt1.0&amp;transitionType=DocumentItem&amp;contextData=(sc.Keycite)" TargetMode="External"/><Relationship Id="rId20" Type="http://schemas.openxmlformats.org/officeDocument/2006/relationships/hyperlink" Target="http://www.westlaw.com/Link/Document/FullText?findType=Y&amp;serNum=1879009233&amp;pubNum=579&amp;originatingDoc=I2d86d9b0fb0911d98ac8f235252e36df&amp;refType=RP&amp;fi=co_pp_sp_579_484&amp;originationContext=document&amp;vr=3.0&amp;rs=cblt1.0&amp;transitionType=DocumentItem&amp;contextData=(sc.Keycite)"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westlaw.com/Browse/Home/KeyNumber/279/View.html?docGuid=I2d86d9b0fb0911d98ac8f235252e36df&amp;originationContext=document&amp;vr=3.0&amp;rs=cblt1.0&amp;transitionType=DocumentItem&amp;contextData=(sc.Keycite)" TargetMode="External"/><Relationship Id="rId24" Type="http://schemas.openxmlformats.org/officeDocument/2006/relationships/hyperlink" Target="http://www.westlaw.com/Link/Document/FullText?findType=Y&amp;serNum=1864002013&amp;pubNum=220&amp;originatingDoc=I2d86d9b0fb0911d98ac8f235252e36df&amp;refType=RP&amp;originationContext=document&amp;vr=3.0&amp;rs=cblt1.0&amp;transitionType=DocumentItem&amp;contextData=(sc.Keycite)"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1.next.westlaw.com/Link/RelatedInformation/Flag?documentGuid=I9b0c757cfb0a11d98ac8f235252e36df&amp;transitionType=InlineKeyCiteFlags&amp;originationContext=docHeaderFlag&amp;Rank=0&amp;ppcid=615d8167246b45b5a80aa81fb89ebc61&amp;contextData=(sc.Keycite)" TargetMode="External"/><Relationship Id="rId23" Type="http://schemas.openxmlformats.org/officeDocument/2006/relationships/hyperlink" Target="http://www.westlaw.com/Link/Document/FullText?findType=Y&amp;serNum=1866002115&amp;pubNum=220&amp;originatingDoc=I2d86d9b0fb0911d98ac8f235252e36df&amp;refType=RP&amp;originationContext=document&amp;vr=3.0&amp;rs=cblt1.0&amp;transitionType=DocumentItem&amp;contextData=(sc.Keycite)" TargetMode="External"/><Relationship Id="rId28" Type="http://schemas.openxmlformats.org/officeDocument/2006/relationships/header" Target="header2.xml"/><Relationship Id="rId10" Type="http://schemas.openxmlformats.org/officeDocument/2006/relationships/hyperlink" Target="http://www.westlaw.com/Browse/Home/KeyNumber/176k6/View.html?docGuid=I2d86d9b0fb0911d98ac8f235252e36df&amp;originationContext=document&amp;vr=3.0&amp;rs=cblt1.0&amp;transitionType=DocumentItem&amp;contextData=(sc.Keycite)" TargetMode="External"/><Relationship Id="rId19" Type="http://schemas.openxmlformats.org/officeDocument/2006/relationships/hyperlink" Target="http://www.westlaw.com/Link/Document/FullText?findType=Y&amp;serNum=1870005435&amp;pubNum=579&amp;originatingDoc=I2d86d9b0fb0911d98ac8f235252e36df&amp;refType=RP&amp;originationContext=document&amp;vr=3.0&amp;rs=cblt1.0&amp;transitionType=DocumentItem&amp;contextData=(sc.Keycite)"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www.westlaw.com/Browse/Home/KeyNumber/279k82/View.html?docGuid=I2d86d9b0fb0911d98ac8f235252e36df&amp;originationContext=document&amp;vr=3.0&amp;rs=cblt1.0&amp;transitionType=DocumentItem&amp;contextData=(sc.Keycite)" TargetMode="External"/><Relationship Id="rId22" Type="http://schemas.openxmlformats.org/officeDocument/2006/relationships/hyperlink" Target="https://1.next.westlaw.com/Link/RelatedInformation/Flag?documentGuid=I5f7471f9fb0711d9b386b232635db992&amp;transitionType=InlineKeyCiteFlags&amp;originationContext=docHeaderFlag&amp;Rank=0&amp;ppcid=615d8167246b45b5a80aa81fb89ebc61&amp;contextData=(sc.Keycite)" TargetMode="External"/><Relationship Id="rId27" Type="http://schemas.openxmlformats.org/officeDocument/2006/relationships/header" Target="header1.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2502</Words>
  <Characters>14268</Characters>
  <Application>Microsoft Office Word</Application>
  <DocSecurity>0</DocSecurity>
  <Lines>118</Lines>
  <Paragraphs>33</Paragraphs>
  <ScaleCrop>false</ScaleCrop>
  <Company/>
  <LinksUpToDate>false</LinksUpToDate>
  <CharactersWithSpaces>16737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Roos-Collins</dc:creator>
  <cp:lastModifiedBy>Richard Roos-Collins</cp:lastModifiedBy>
  <cp:revision>2</cp:revision>
  <dcterms:created xsi:type="dcterms:W3CDTF">2022-03-27T17:17:00Z</dcterms:created>
  <dcterms:modified xsi:type="dcterms:W3CDTF">2022-03-27T17:17:00Z</dcterms:modified>
</cp:coreProperties>
</file>